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83840;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361010</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单位名称：秦皇岛市中心血站</w:t>
                  </w:r>
                </w:p>
              </w:txbxContent>
            </v:textbox>
          </v:rect>
        </w:pict>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84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81792;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82816;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609600</wp:posOffset>
            </wp:positionH>
            <wp:positionV relativeFrom="margin">
              <wp:posOffset>2604135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单位概况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 秦皇岛市中心血站是我市唯一的采集、提供临床用血的机构，是不以营利为目的的公益性组织，担负向全市提供临床用血的任务。主要职责包括：</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(一)开展无偿献血者的招募；</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(二)血液的采集与制备；</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(三)临床用血供应以及医疗用血的指导；</w:t>
      </w:r>
    </w:p>
    <w:p>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(四)血液储存的质量控制。</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74"/>
        <w:gridCol w:w="2650"/>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074"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650"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871"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074"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秦皇岛市中心血站</w:t>
            </w:r>
          </w:p>
        </w:tc>
        <w:tc>
          <w:tcPr>
            <w:tcW w:w="2650" w:type="dxa"/>
          </w:tcPr>
          <w:p>
            <w:pPr>
              <w:spacing w:line="560" w:lineRule="exact"/>
              <w:jc w:val="center"/>
              <w:rPr>
                <w:rFonts w:ascii="仿宋_GB2312" w:eastAsia="仿宋_GB2312" w:cs="ArialUnicodeMS"/>
                <w:kern w:val="0"/>
                <w:sz w:val="28"/>
                <w:szCs w:val="28"/>
              </w:rPr>
            </w:pPr>
            <w:r>
              <w:rPr>
                <w:rFonts w:hint="eastAsia" w:ascii="仿宋_GB2312" w:eastAsia="仿宋_GB2312" w:cs="Arial Black"/>
                <w:sz w:val="28"/>
                <w:szCs w:val="28"/>
              </w:rPr>
              <w:t>财政补助事业单位</w:t>
            </w:r>
          </w:p>
        </w:tc>
        <w:tc>
          <w:tcPr>
            <w:tcW w:w="2871" w:type="dxa"/>
          </w:tcPr>
          <w:p>
            <w:pPr>
              <w:spacing w:line="560" w:lineRule="exact"/>
              <w:jc w:val="center"/>
              <w:rPr>
                <w:rFonts w:ascii="仿宋_GB2312" w:eastAsia="仿宋_GB2312" w:cs="ArialUnicodeMS"/>
                <w:kern w:val="0"/>
                <w:sz w:val="28"/>
                <w:szCs w:val="28"/>
              </w:rPr>
            </w:pPr>
            <w:r>
              <w:rPr>
                <w:rFonts w:hint="eastAsia" w:ascii="仿宋_GB2312" w:eastAsia="仿宋_GB2312" w:cs="Arial Black"/>
                <w:sz w:val="28"/>
                <w:szCs w:val="28"/>
              </w:rPr>
              <w:t>财政性资金基本保证</w:t>
            </w:r>
          </w:p>
        </w:tc>
      </w:tr>
    </w:tbl>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282575</wp:posOffset>
            </wp:positionH>
            <wp:positionV relativeFrom="margin">
              <wp:posOffset>457835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2021年度部门决算报表</w:t>
      </w:r>
    </w:p>
    <w:p>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643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7456" behindDoc="0" locked="0" layoutInCell="1" allowOverlap="0">
            <wp:simplePos x="0" y="0"/>
            <wp:positionH relativeFrom="column">
              <wp:posOffset>3810</wp:posOffset>
            </wp:positionH>
            <wp:positionV relativeFrom="paragraph">
              <wp:posOffset>-635</wp:posOffset>
            </wp:positionV>
            <wp:extent cx="9204960" cy="36455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3645535"/>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8480" behindDoc="0" locked="0" layoutInCell="1" allowOverlap="0">
            <wp:simplePos x="0" y="0"/>
            <wp:positionH relativeFrom="column">
              <wp:posOffset>3810</wp:posOffset>
            </wp:positionH>
            <wp:positionV relativeFrom="paragraph">
              <wp:posOffset>-3175</wp:posOffset>
            </wp:positionV>
            <wp:extent cx="9204960" cy="406273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4062730"/>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889635</wp:posOffset>
            </wp:positionH>
            <wp:positionV relativeFrom="paragraph">
              <wp:posOffset>-635</wp:posOffset>
            </wp:positionV>
            <wp:extent cx="7419975" cy="4391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19975" cy="439102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3348.22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增加257.44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增长8.3</w:t>
      </w:r>
      <w:r>
        <w:rPr>
          <w:rFonts w:hint="eastAsia" w:ascii="仿宋_GB2312" w:hAnsi="Times New Roman" w:eastAsia="仿宋" w:cs="DengXian-Regular"/>
          <w:sz w:val="32"/>
          <w:szCs w:val="32"/>
        </w:rPr>
        <w:t>%，主要原因是</w:t>
      </w:r>
      <w:r>
        <w:rPr>
          <w:rFonts w:hint="eastAsia" w:ascii="仿宋_GB2312" w:hAnsi="仿宋_GB2312" w:eastAsia="仿宋_GB2312" w:cs="仿宋_GB2312"/>
          <w:sz w:val="32"/>
          <w:szCs w:val="32"/>
        </w:rPr>
        <w:t>采供血事业运营成本增加</w:t>
      </w:r>
      <w:r>
        <w:rPr>
          <w:rFonts w:hint="eastAsia" w:ascii="仿宋_GB2312" w:hAnsi="Times New Roman" w:eastAsia="仿宋" w:cs="DengXian-Regular"/>
          <w:sz w:val="32"/>
          <w:szCs w:val="32"/>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rPr>
            </w:pPr>
            <w:bookmarkStart w:id="0" w:name="_Hlk114241226"/>
            <w:r>
              <w:rPr>
                <w:rFonts w:hint="eastAsia" w:ascii="仿宋_GB2312" w:hAnsi="Times New Roman" w:eastAsia="仿宋" w:cs="DengXian-Regular"/>
                <w:sz w:val="32"/>
                <w:szCs w:val="32"/>
              </w:rPr>
              <w:drawing>
                <wp:anchor distT="0" distB="0" distL="114300" distR="114300" simplePos="0" relativeHeight="251674624"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3160.59</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3160.59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7564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3348.22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1127.27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33.7</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2220.96</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66.3</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76672"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3160.59</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增加201.57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增长6.8</w:t>
      </w:r>
      <w:r>
        <w:rPr>
          <w:rFonts w:hint="eastAsia" w:ascii="仿宋_GB2312" w:hAnsi="Times New Roman" w:eastAsia="仿宋" w:cs="DengXian-Regular"/>
          <w:sz w:val="32"/>
          <w:szCs w:val="32"/>
        </w:rPr>
        <w:t>%，主要原因是</w:t>
      </w:r>
      <w:r>
        <w:rPr>
          <w:rFonts w:hint="eastAsia" w:ascii="仿宋_GB2312" w:eastAsia="仿宋_GB2312" w:cs="Wingdings"/>
          <w:sz w:val="32"/>
          <w:szCs w:val="32"/>
        </w:rPr>
        <w:t>采供血事业运营资金需求增加</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3348.22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增加451.62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增长15.6</w:t>
      </w:r>
      <w:r>
        <w:rPr>
          <w:rFonts w:hint="eastAsia" w:ascii="仿宋_GB2312" w:hAnsi="Times New Roman" w:eastAsia="仿宋" w:cs="DengXian-Regular"/>
          <w:sz w:val="32"/>
          <w:szCs w:val="32"/>
        </w:rPr>
        <w:t>%，主要原因是</w:t>
      </w:r>
      <w:r>
        <w:rPr>
          <w:rFonts w:hint="eastAsia" w:ascii="仿宋_GB2312" w:eastAsia="仿宋_GB2312" w:cs="Wingdings"/>
          <w:sz w:val="32"/>
          <w:szCs w:val="32"/>
        </w:rPr>
        <w:t>采供血事业运营成本增加</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3160.59</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增加201.57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增长6.8</w:t>
      </w:r>
      <w:r>
        <w:rPr>
          <w:rFonts w:hint="eastAsia" w:ascii="仿宋_GB2312" w:hAnsi="Times New Roman" w:eastAsia="仿宋" w:cs="DengXian-Regular"/>
          <w:sz w:val="32"/>
          <w:szCs w:val="32"/>
        </w:rPr>
        <w:t>%；主要原因是</w:t>
      </w:r>
      <w:r>
        <w:rPr>
          <w:rFonts w:hint="eastAsia" w:ascii="仿宋_GB2312" w:eastAsia="仿宋_GB2312" w:cs="Wingdings"/>
          <w:sz w:val="32"/>
          <w:szCs w:val="32"/>
        </w:rPr>
        <w:t>采供血事业运营资金需求增加</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3348.22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增加451.62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增长15.6</w:t>
      </w:r>
      <w:r>
        <w:rPr>
          <w:rFonts w:hint="eastAsia" w:ascii="仿宋_GB2312" w:hAnsi="Times New Roman" w:eastAsia="仿宋" w:cs="DengXian-Regular"/>
          <w:sz w:val="32"/>
          <w:szCs w:val="32"/>
        </w:rPr>
        <w:t>%，主要原因是</w:t>
      </w:r>
      <w:r>
        <w:rPr>
          <w:rFonts w:hint="eastAsia" w:ascii="仿宋_GB2312" w:eastAsia="仿宋_GB2312" w:cs="Wingdings"/>
          <w:sz w:val="32"/>
          <w:szCs w:val="32"/>
        </w:rPr>
        <w:t>采供血事业运营成本增加</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7769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3160.59</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97.3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减少86.34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预算数主要原因是财政拨款受到压减；本年支出</w:t>
      </w:r>
      <w:r>
        <w:rPr>
          <w:rFonts w:ascii="仿宋_GB2312" w:hAnsi="Times New Roman" w:eastAsia="仿宋" w:cs="DengXian-Regular"/>
          <w:sz w:val="32"/>
          <w:szCs w:val="32"/>
        </w:rPr>
        <w:t>3348.22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103.1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增加101.29</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预算数主要原因是调整预算数变更。具体情况如下：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97.3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减少86.34</w:t>
      </w:r>
      <w:r>
        <w:rPr>
          <w:rFonts w:hint="eastAsia" w:ascii="仿宋_GB2312" w:hAnsi="Times New Roman" w:eastAsia="仿宋" w:cs="DengXian-Regular"/>
          <w:sz w:val="32"/>
          <w:szCs w:val="32"/>
        </w:rPr>
        <w:t>万元，主要是预算受到压减；本年支出完成年初预算</w:t>
      </w:r>
      <w:r>
        <w:rPr>
          <w:rFonts w:ascii="仿宋_GB2312" w:hAnsi="Times New Roman" w:eastAsia="仿宋" w:cs="DengXian-Regular"/>
          <w:sz w:val="32"/>
          <w:szCs w:val="32"/>
        </w:rPr>
        <w:t>103.1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w:t>
      </w:r>
      <w:bookmarkStart w:id="1" w:name="_GoBack"/>
      <w:bookmarkEnd w:id="1"/>
      <w:r>
        <w:rPr>
          <w:rFonts w:ascii="仿宋_GB2312" w:hAnsi="Times New Roman" w:eastAsia="仿宋" w:cs="DengXian-Regular"/>
          <w:sz w:val="32"/>
          <w:szCs w:val="32"/>
        </w:rPr>
        <w:t>加101.29</w:t>
      </w:r>
      <w:r>
        <w:rPr>
          <w:rFonts w:hint="eastAsia" w:ascii="仿宋_GB2312" w:hAnsi="Times New Roman" w:eastAsia="仿宋" w:cs="DengXian-Regular"/>
          <w:sz w:val="32"/>
          <w:szCs w:val="32"/>
        </w:rPr>
        <w:t>万元，主要是调整预算数变更。</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drawing>
          <wp:anchor distT="0" distB="0" distL="114300" distR="114300" simplePos="0" relativeHeight="251678720" behindDoc="0" locked="0" layoutInCell="1" allowOverlap="1">
            <wp:simplePos x="0" y="0"/>
            <wp:positionH relativeFrom="column">
              <wp:posOffset>199390</wp:posOffset>
            </wp:positionH>
            <wp:positionV relativeFrom="paragraph">
              <wp:posOffset>178435</wp:posOffset>
            </wp:positionV>
            <wp:extent cx="5608320" cy="3362960"/>
            <wp:effectExtent l="0" t="0" r="11430" b="8890"/>
            <wp:wrapTopAndBottom/>
            <wp:docPr id="3" name="图片 3" descr="01f9d4e53fffe54bcfc3ac2e66e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f9d4e53fffe54bcfc3ac2e66e1781"/>
                    <pic:cNvPicPr>
                      <a:picLocks noChangeAspect="1"/>
                    </pic:cNvPicPr>
                  </pic:nvPicPr>
                  <pic:blipFill>
                    <a:blip r:embed="rId35"/>
                    <a:stretch>
                      <a:fillRect/>
                    </a:stretch>
                  </pic:blipFill>
                  <pic:spPr>
                    <a:xfrm>
                      <a:off x="0" y="0"/>
                      <a:ext cx="5608320" cy="3362960"/>
                    </a:xfrm>
                    <a:prstGeom prst="rect">
                      <a:avLst/>
                    </a:prstGeom>
                  </pic:spPr>
                </pic:pic>
              </a:graphicData>
            </a:graphic>
          </wp:anchor>
        </w:drawing>
      </w: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3348.22</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122.68</w:t>
      </w:r>
      <w:r>
        <w:rPr>
          <w:rFonts w:hint="eastAsia" w:ascii="仿宋_GB2312" w:hAnsi="Times New Roman" w:eastAsia="仿宋" w:cs="Wingdings"/>
          <w:sz w:val="32"/>
          <w:szCs w:val="32"/>
        </w:rPr>
        <w:t>万元，占</w:t>
      </w:r>
      <w:r>
        <w:rPr>
          <w:rFonts w:ascii="仿宋_GB2312" w:hAnsi="Times New Roman" w:eastAsia="仿宋" w:cs="DengXian-Regular"/>
          <w:sz w:val="32"/>
          <w:szCs w:val="32"/>
        </w:rPr>
        <w:t>3.7</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主要用于职工社保等支出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3169.23</w:t>
      </w:r>
      <w:r>
        <w:rPr>
          <w:rFonts w:hint="eastAsia" w:ascii="仿宋_GB2312" w:hAnsi="Times New Roman" w:eastAsia="仿宋" w:cs="Wingdings"/>
          <w:sz w:val="32"/>
          <w:szCs w:val="32"/>
        </w:rPr>
        <w:t>万元，占</w:t>
      </w:r>
      <w:r>
        <w:rPr>
          <w:rFonts w:ascii="仿宋_GB2312" w:hAnsi="Times New Roman" w:eastAsia="仿宋" w:cs="DengXian-Regular"/>
          <w:sz w:val="32"/>
          <w:szCs w:val="32"/>
        </w:rPr>
        <w:t>94.7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，主要用于采供血业务成本等支出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56.32</w:t>
      </w:r>
      <w:r>
        <w:rPr>
          <w:rFonts w:hint="eastAsia" w:ascii="仿宋_GB2312" w:hAnsi="Times New Roman" w:eastAsia="仿宋" w:cs="Wingdings"/>
          <w:sz w:val="32"/>
          <w:szCs w:val="32"/>
        </w:rPr>
        <w:t>万元，占</w:t>
      </w:r>
      <w:r>
        <w:rPr>
          <w:rFonts w:ascii="仿宋_GB2312" w:hAnsi="Times New Roman" w:eastAsia="仿宋" w:cs="DengXian-Regular"/>
          <w:sz w:val="32"/>
          <w:szCs w:val="32"/>
        </w:rPr>
        <w:t>1.7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，主要用于职工住房公积金等支出</w:t>
      </w:r>
      <w:r>
        <w:rPr>
          <w:rFonts w:hint="eastAsia" w:ascii="仿宋_GB2312" w:hAnsi="Times New Roman"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1127.27</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1057.49</w:t>
      </w:r>
      <w:r>
        <w:rPr>
          <w:rFonts w:hint="eastAsia" w:ascii="仿宋_GB2312" w:hAnsi="Times New Roman" w:eastAsia="仿宋" w:cs="DengXian-Regular"/>
          <w:sz w:val="32"/>
          <w:szCs w:val="32"/>
        </w:rPr>
        <w:t>万元，主要包括</w:t>
      </w:r>
      <w:r>
        <w:rPr>
          <w:rFonts w:hint="eastAsia" w:ascii="仿宋_GB2312" w:eastAsia="仿宋_GB2312" w:cs="Wingdings"/>
          <w:sz w:val="32"/>
          <w:szCs w:val="32"/>
        </w:rPr>
        <w:t>基本工资、津贴补贴、奖金、绩效工资、机关事业单位基本养老保险缴费、职工基本医疗保险缴费、公务员医疗补助缴费、住房公积金、其他社会保障缴费、其他工资福利支出、离休费、退休费、奖励金</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eastAsia="仿宋_GB2312" w:cs="Wingdings"/>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69.78</w:t>
      </w:r>
      <w:r>
        <w:rPr>
          <w:rFonts w:hint="eastAsia" w:ascii="仿宋_GB2312" w:hAnsi="Times New Roman" w:eastAsia="仿宋" w:cs="DengXian-Regular"/>
          <w:sz w:val="32"/>
          <w:szCs w:val="32"/>
        </w:rPr>
        <w:t>万元，</w:t>
      </w:r>
      <w:r>
        <w:rPr>
          <w:rFonts w:hint="eastAsia" w:ascii="仿宋_GB2312" w:eastAsia="仿宋_GB2312" w:cs="Wingdings"/>
          <w:sz w:val="32"/>
          <w:szCs w:val="32"/>
        </w:rPr>
        <w:t>主要包括办公费、水费、电费、邮电费、取暖费、差旅费、维修（护）费、专用材料费、工会经费、福利费、公务用车运行维护费、其他交通费用、其他商品和服务支出、办公设备购置。</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16.32</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7.53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46.1</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减少8.79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降低53.9</w:t>
      </w:r>
      <w:r>
        <w:rPr>
          <w:rFonts w:hint="eastAsia" w:ascii="仿宋_GB2312" w:hAnsi="Times New Roman" w:eastAsia="仿宋" w:cs="DengXian-Regular"/>
          <w:sz w:val="32"/>
          <w:szCs w:val="32"/>
        </w:rPr>
        <w:t>%，</w:t>
      </w:r>
      <w:r>
        <w:rPr>
          <w:rFonts w:hint="eastAsia" w:ascii="仿宋_GB2312" w:eastAsia="仿宋_GB2312" w:cs="Wingdings"/>
          <w:sz w:val="32"/>
          <w:szCs w:val="32"/>
        </w:rPr>
        <w:t>主要是厉行节约，严格规范经费支出所致</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增加5.60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增长290.3</w:t>
      </w:r>
      <w:r>
        <w:rPr>
          <w:rFonts w:hint="eastAsia" w:ascii="仿宋_GB2312" w:hAnsi="Times New Roman" w:eastAsia="仿宋" w:cs="DengXian-Regular"/>
          <w:sz w:val="32"/>
          <w:szCs w:val="32"/>
        </w:rPr>
        <w:t>%，</w:t>
      </w:r>
      <w:r>
        <w:rPr>
          <w:rFonts w:hint="eastAsia" w:ascii="仿宋_GB2312" w:eastAsia="仿宋_GB2312" w:cs="Wingdings"/>
          <w:sz w:val="32"/>
          <w:szCs w:val="32"/>
        </w:rPr>
        <w:t>主要是在采供血业务有所增加的情况下，支出较上年有所增长</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15.35</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7.53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49.1</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减少7.82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降低50.9</w:t>
      </w:r>
      <w:r>
        <w:rPr>
          <w:rFonts w:hint="eastAsia" w:ascii="仿宋_GB2312" w:hAnsi="Times New Roman" w:eastAsia="仿宋" w:cs="DengXian-Regular"/>
          <w:sz w:val="32"/>
          <w:szCs w:val="32"/>
        </w:rPr>
        <w:t>%,</w:t>
      </w:r>
      <w:r>
        <w:rPr>
          <w:rFonts w:hint="eastAsia" w:ascii="仿宋_GB2312" w:hAnsi="仿宋_GB2312" w:eastAsia="仿宋_GB2312" w:cs="仿宋_GB2312"/>
          <w:sz w:val="32"/>
          <w:szCs w:val="32"/>
        </w:rPr>
        <w:t>主要是硬化预算约束，严格规范经费支出所致</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增加5.60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增长290.3</w:t>
      </w:r>
      <w:r>
        <w:rPr>
          <w:rFonts w:hint="eastAsia" w:ascii="仿宋_GB2312" w:hAnsi="Times New Roman" w:eastAsia="仿宋" w:cs="DengXian-Regular"/>
          <w:sz w:val="32"/>
          <w:szCs w:val="32"/>
        </w:rPr>
        <w:t>%,</w:t>
      </w:r>
      <w:r>
        <w:rPr>
          <w:rFonts w:hint="eastAsia" w:ascii="仿宋_GB2312" w:hAnsi="仿宋_GB2312" w:eastAsia="仿宋_GB2312" w:cs="仿宋_GB2312"/>
          <w:sz w:val="32"/>
          <w:szCs w:val="32"/>
        </w:rPr>
        <w:t>主要是在公务用车活动有所增加的情况下，支出较上年略有增长</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7.53</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2021年度单位公务用车保有量8辆。公车运行维护费支出较预算</w:t>
      </w:r>
      <w:r>
        <w:rPr>
          <w:rFonts w:ascii="仿宋_GB2312" w:hAnsi="Times New Roman" w:eastAsia="仿宋" w:cs="DengXian-Regular"/>
          <w:sz w:val="32"/>
          <w:szCs w:val="32"/>
        </w:rPr>
        <w:t>减少7.82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降低50.9</w:t>
      </w:r>
      <w:r>
        <w:rPr>
          <w:rFonts w:hint="eastAsia" w:ascii="仿宋_GB2312" w:hAnsi="Times New Roman" w:eastAsia="仿宋" w:cs="DengXian-Regular"/>
          <w:sz w:val="32"/>
          <w:szCs w:val="32"/>
        </w:rPr>
        <w:t>%,</w:t>
      </w:r>
      <w:r>
        <w:rPr>
          <w:rFonts w:hint="eastAsia" w:ascii="仿宋_GB2312" w:hAnsi="仿宋_GB2312" w:eastAsia="仿宋_GB2312" w:cs="仿宋_GB2312"/>
          <w:sz w:val="32"/>
          <w:szCs w:val="32"/>
        </w:rPr>
        <w:t>主要是硬化预算约束，严守公务用车配备及使用纪律所致</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增加5.60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增长290.3</w:t>
      </w:r>
      <w:r>
        <w:rPr>
          <w:rFonts w:hint="eastAsia" w:ascii="仿宋_GB2312" w:hAnsi="Times New Roman" w:eastAsia="仿宋" w:cs="DengXian-Regular"/>
          <w:sz w:val="32"/>
          <w:szCs w:val="32"/>
        </w:rPr>
        <w:t>%，</w:t>
      </w:r>
      <w:r>
        <w:rPr>
          <w:rFonts w:hint="eastAsia" w:ascii="仿宋_GB2312" w:hAnsi="仿宋_GB2312" w:eastAsia="仿宋_GB2312" w:cs="仿宋_GB2312"/>
          <w:sz w:val="32"/>
          <w:szCs w:val="32"/>
        </w:rPr>
        <w:t>主要是在公务活动有所增加的情况下，支出较上年略有增长，基本保持平稳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0.97</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减少0.97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%,主要是</w:t>
      </w:r>
      <w:r>
        <w:rPr>
          <w:rFonts w:hint="eastAsia" w:ascii="仿宋_GB2312" w:eastAsia="仿宋_GB2312" w:cs="Wingdings"/>
          <w:sz w:val="32"/>
          <w:szCs w:val="32"/>
        </w:rPr>
        <w:t>厉行节约，严格规范经费支出所致</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组织对2021年度一般公共预算项目支出全面开展绩效自评，其中，二级项目4个，共涉及资金2173.01万元，占一般公共预算项目支出总额的97%。</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组织对“无偿献血宣传招募、血液供应保障、采供血及献血者服务、下达2020年重大传染病防控经费预算”等二级项目开展了重点评价，涉及一般公共预算支出2173.01万元。其中，对“无偿献血宣传招募、血液供应保障、采供血及献血者服务、下达2020年重大传染病防控经费预算”等项目</w:t>
      </w:r>
      <w:r>
        <w:rPr>
          <w:rFonts w:hint="eastAsia" w:ascii="仿宋_GB2312" w:hAnsi="仿宋_GB2312" w:eastAsia="仿宋_GB2312" w:cs="仿宋_GB2312"/>
          <w:sz w:val="32"/>
          <w:szCs w:val="32"/>
        </w:rPr>
        <w:t>分别由内部评审机构开展绩效评价。从评价情况来看，我单位总体绩效目标完成情况较好。目标设定能够反映项目运行主要效果。</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rPr>
        <w:t>本部门在今年部门决算公开中反映“无偿献血宣传招募、血液供应保障、采供血及献血者服务、下达2020年重大传染病防控经费预算”等4个项目绩效自评结果。</w:t>
      </w:r>
    </w:p>
    <w:p>
      <w:pPr>
        <w:numPr>
          <w:ilvl w:val="0"/>
          <w:numId w:val="1"/>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无偿献血宣传招募项目自评综述：根据年初设定的绩效目标，无偿献血宣传招募项目绩效自评得分为97分（绩效自评表附后）。全年预算数为125.81万元，执行数为125.81万元，完成预算的100%。项目绩效目标完成情况：</w:t>
      </w:r>
      <w:r>
        <w:rPr>
          <w:rFonts w:hint="eastAsia" w:ascii="仿宋_GB2312" w:hAnsi="仿宋_GB2312" w:eastAsia="仿宋_GB2312" w:cs="仿宋_GB2312"/>
          <w:sz w:val="32"/>
          <w:szCs w:val="32"/>
        </w:rPr>
        <w:t>无偿献血宣传招募项目资金主要用于进行献血知识宣传，普及无偿献血知识，确保在低危人群中采集安全血液。具体应用支出范围是印制无偿献血宣传资料、组织无偿献血主题活动、无偿献血血费返还、发放无偿捐献机采血小板交通补贴、短信服务费、微信服务费等费用。完成了无偿献血宣传广告覆盖率、无偿献血知晓率要求、无偿献血者满意度达到99.35%。</w:t>
      </w:r>
    </w:p>
    <w:tbl>
      <w:tblPr>
        <w:tblStyle w:val="5"/>
        <w:tblW w:w="8918" w:type="dxa"/>
        <w:tblInd w:w="93" w:type="dxa"/>
        <w:tblLayout w:type="autofit"/>
        <w:tblCellMar>
          <w:top w:w="0" w:type="dxa"/>
          <w:left w:w="108" w:type="dxa"/>
          <w:bottom w:w="0" w:type="dxa"/>
          <w:right w:w="108" w:type="dxa"/>
        </w:tblCellMar>
      </w:tblPr>
      <w:tblGrid>
        <w:gridCol w:w="838"/>
        <w:gridCol w:w="1224"/>
        <w:gridCol w:w="934"/>
        <w:gridCol w:w="2363"/>
        <w:gridCol w:w="1090"/>
        <w:gridCol w:w="716"/>
        <w:gridCol w:w="798"/>
        <w:gridCol w:w="390"/>
        <w:gridCol w:w="565"/>
      </w:tblGrid>
      <w:tr>
        <w:tblPrEx>
          <w:tblCellMar>
            <w:top w:w="0" w:type="dxa"/>
            <w:left w:w="108" w:type="dxa"/>
            <w:bottom w:w="0" w:type="dxa"/>
            <w:right w:w="108" w:type="dxa"/>
          </w:tblCellMar>
        </w:tblPrEx>
        <w:trPr>
          <w:trHeight w:val="232" w:hRule="atLeast"/>
        </w:trPr>
        <w:tc>
          <w:tcPr>
            <w:tcW w:w="838"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Style w:val="9"/>
                <w:rFonts w:hint="default"/>
                <w:lang w:bidi="ar"/>
              </w:rPr>
              <w:t>一、</w:t>
            </w:r>
            <w:r>
              <w:rPr>
                <w:rStyle w:val="10"/>
                <w:lang w:bidi="ar"/>
              </w:rPr>
              <w:t xml:space="preserve"> </w:t>
            </w:r>
            <w:r>
              <w:rPr>
                <w:rStyle w:val="9"/>
                <w:rFonts w:hint="default"/>
                <w:lang w:bidi="ar"/>
              </w:rPr>
              <w:t>基本情况</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项目名称</w:t>
            </w:r>
          </w:p>
        </w:tc>
        <w:tc>
          <w:tcPr>
            <w:tcW w:w="68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无偿献血宣传招募</w:t>
            </w:r>
          </w:p>
        </w:tc>
      </w:tr>
      <w:tr>
        <w:tblPrEx>
          <w:tblCellMar>
            <w:top w:w="0" w:type="dxa"/>
            <w:left w:w="108" w:type="dxa"/>
            <w:bottom w:w="0" w:type="dxa"/>
            <w:right w:w="108" w:type="dxa"/>
          </w:tblCellMar>
        </w:tblPrEx>
        <w:trPr>
          <w:trHeight w:val="232" w:hRule="atLeast"/>
        </w:trPr>
        <w:tc>
          <w:tcPr>
            <w:tcW w:w="838"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olor w:val="000000"/>
                <w:sz w:val="16"/>
                <w:szCs w:val="16"/>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主管部门</w:t>
            </w:r>
          </w:p>
        </w:tc>
        <w:tc>
          <w:tcPr>
            <w:tcW w:w="4387"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秦皇岛市卫生健康委员会</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实施单位</w:t>
            </w:r>
          </w:p>
        </w:tc>
        <w:tc>
          <w:tcPr>
            <w:tcW w:w="1753"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秦皇岛市中心血站</w:t>
            </w:r>
          </w:p>
        </w:tc>
      </w:tr>
      <w:tr>
        <w:tblPrEx>
          <w:tblCellMar>
            <w:top w:w="0" w:type="dxa"/>
            <w:left w:w="108" w:type="dxa"/>
            <w:bottom w:w="0" w:type="dxa"/>
            <w:right w:w="108" w:type="dxa"/>
          </w:tblCellMar>
        </w:tblPrEx>
        <w:trPr>
          <w:trHeight w:val="232" w:hRule="atLeast"/>
        </w:trPr>
        <w:tc>
          <w:tcPr>
            <w:tcW w:w="83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二、预算执行情况</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年初预算数</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全年预算数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全年执行数</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执行率（%）</w:t>
            </w: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年度项目资金总额</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150</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125.81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125.81</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其中：当年财政拨款</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150</w:t>
            </w: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125.81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125.81</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146" w:hRule="atLeast"/>
        </w:trPr>
        <w:tc>
          <w:tcPr>
            <w:tcW w:w="8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上年结转资金</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Cs w:val="21"/>
              </w:rPr>
            </w:pP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 xml:space="preserve">      其他资金</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Cs w:val="21"/>
              </w:rPr>
            </w:pPr>
          </w:p>
        </w:tc>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232" w:hRule="atLeast"/>
        </w:trPr>
        <w:tc>
          <w:tcPr>
            <w:tcW w:w="83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三、目标完成情况</w:t>
            </w:r>
          </w:p>
        </w:tc>
        <w:tc>
          <w:tcPr>
            <w:tcW w:w="4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年度预期目标</w:t>
            </w:r>
          </w:p>
        </w:tc>
        <w:tc>
          <w:tcPr>
            <w:tcW w:w="2604"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具体完成情况</w:t>
            </w:r>
          </w:p>
        </w:tc>
        <w:tc>
          <w:tcPr>
            <w:tcW w:w="955"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总体完成率</w:t>
            </w:r>
          </w:p>
        </w:tc>
      </w:tr>
      <w:tr>
        <w:tblPrEx>
          <w:tblCellMar>
            <w:top w:w="0" w:type="dxa"/>
            <w:left w:w="108" w:type="dxa"/>
            <w:bottom w:w="0" w:type="dxa"/>
            <w:right w:w="108" w:type="dxa"/>
          </w:tblCellMar>
        </w:tblPrEx>
        <w:trPr>
          <w:trHeight w:val="798" w:hRule="atLeast"/>
        </w:trPr>
        <w:tc>
          <w:tcPr>
            <w:tcW w:w="83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4521"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完成符合条件的献血员血费返还工作，</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完成机采献血员补贴发放工作，保障血小板供应</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通过短信通知、微信平台发布相关献血信息，增强与献血员联系，保障血液供应</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通过献血宣传，普及无偿献血知识，提高无偿献血知晓率</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通过组织主题活动，团体献血，保证血源告急状态下临床用血供应</w:t>
            </w:r>
          </w:p>
        </w:tc>
        <w:tc>
          <w:tcPr>
            <w:tcW w:w="2604"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完成血费返还工作，</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完成交通补贴发放工作，保障血小板供应</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保障血液供应</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提高无偿献血知晓率</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保证血源告急状态下临床用血供应</w:t>
            </w:r>
          </w:p>
        </w:tc>
        <w:tc>
          <w:tcPr>
            <w:tcW w:w="955" w:type="dxa"/>
            <w:gridSpan w:val="2"/>
            <w:tcBorders>
              <w:top w:val="nil"/>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232"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四、年度绩效指标完成情况</w:t>
            </w:r>
          </w:p>
        </w:tc>
        <w:tc>
          <w:tcPr>
            <w:tcW w:w="122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一级指标</w:t>
            </w:r>
          </w:p>
        </w:tc>
        <w:tc>
          <w:tcPr>
            <w:tcW w:w="93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二级指标</w:t>
            </w:r>
          </w:p>
        </w:tc>
        <w:tc>
          <w:tcPr>
            <w:tcW w:w="3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三级指标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预期指标值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实际完成值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分值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自评得分</w:t>
            </w: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restart"/>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产出指标（50）</w:t>
            </w:r>
          </w:p>
        </w:tc>
        <w:tc>
          <w:tcPr>
            <w:tcW w:w="934"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驻秦高校大学生献血人数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&gt;=4000人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9786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4</w:t>
            </w:r>
          </w:p>
        </w:tc>
      </w:tr>
      <w:tr>
        <w:tblPrEx>
          <w:tblCellMar>
            <w:top w:w="0" w:type="dxa"/>
            <w:left w:w="108" w:type="dxa"/>
            <w:bottom w:w="0" w:type="dxa"/>
            <w:right w:w="108" w:type="dxa"/>
          </w:tblCellMar>
        </w:tblPrEx>
        <w:trPr>
          <w:trHeight w:val="225"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重大节日组织献血活动次数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&gt;=15</w:t>
            </w:r>
            <w:r>
              <w:rPr>
                <w:rStyle w:val="9"/>
                <w:rFonts w:hint="default"/>
                <w:lang w:bidi="ar"/>
              </w:rPr>
              <w:t>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225"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组织企事业单位团体献血次数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&gt;=30</w:t>
            </w:r>
            <w:r>
              <w:rPr>
                <w:rStyle w:val="9"/>
                <w:rFonts w:hint="default"/>
                <w:lang w:bidi="ar"/>
              </w:rPr>
              <w:t>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血费报销审核准确率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献血员短信通知覆盖率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机采献血者补贴发放率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机采血小板交通补贴</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50</w:t>
            </w:r>
            <w:r>
              <w:rPr>
                <w:rStyle w:val="9"/>
                <w:rFonts w:hint="default"/>
                <w:lang w:bidi="ar"/>
              </w:rPr>
              <w:t>元</w:t>
            </w:r>
            <w:r>
              <w:rPr>
                <w:rStyle w:val="11"/>
                <w:lang w:bidi="ar"/>
              </w:rPr>
              <w:t>/</w:t>
            </w:r>
            <w:r>
              <w:rPr>
                <w:rStyle w:val="9"/>
                <w:rFonts w:hint="default"/>
                <w:lang w:bidi="ar"/>
              </w:rPr>
              <w:t>单位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血源告急状态下临床用血供应及时性</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&gt;=80%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主题活动成本</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&lt;=5</w:t>
            </w:r>
            <w:r>
              <w:rPr>
                <w:rStyle w:val="9"/>
                <w:rFonts w:hint="default"/>
                <w:lang w:bidi="ar"/>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restart"/>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无偿献血宣传广告覆盖率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&gt;=70%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80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15-55周岁人口无偿献血知晓率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&gt;=70%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85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驻秦高校大学生无偿献血知晓率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23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93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可持续影响指标</w:t>
            </w:r>
          </w:p>
        </w:tc>
        <w:tc>
          <w:tcPr>
            <w:tcW w:w="3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保证全市临床用血需求</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&gt;=80%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满意度指标（10）</w:t>
            </w:r>
          </w:p>
        </w:tc>
        <w:tc>
          <w:tcPr>
            <w:tcW w:w="934"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血费返还献血员满意率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93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献血者对献血服务满意率</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99.35%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45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224"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预算执行率（10）</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w:t>
            </w:r>
          </w:p>
        </w:tc>
        <w:tc>
          <w:tcPr>
            <w:tcW w:w="345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项目完成且执行数控制在年度预算规模之内，得10分；项目尚未完成，预算执行率小于90%且大于等于80%得7分，小于80%且大于等于60%得5分，小于60%不得分。</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&gt;=90%</w:t>
            </w:r>
          </w:p>
        </w:tc>
        <w:tc>
          <w:tcPr>
            <w:tcW w:w="79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146"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51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总分（共计100分）</w:t>
            </w:r>
          </w:p>
        </w:tc>
        <w:tc>
          <w:tcPr>
            <w:tcW w:w="56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Cs w:val="21"/>
              </w:rPr>
            </w:pPr>
            <w:r>
              <w:rPr>
                <w:rFonts w:cs="Calibri"/>
                <w:color w:val="000000"/>
                <w:kern w:val="0"/>
                <w:szCs w:val="21"/>
                <w:lang w:bidi="ar"/>
              </w:rPr>
              <w:t>97</w:t>
            </w:r>
          </w:p>
        </w:tc>
      </w:tr>
      <w:tr>
        <w:tblPrEx>
          <w:tblCellMar>
            <w:top w:w="0" w:type="dxa"/>
            <w:left w:w="108" w:type="dxa"/>
            <w:bottom w:w="0" w:type="dxa"/>
            <w:right w:w="108" w:type="dxa"/>
          </w:tblCellMar>
        </w:tblPrEx>
        <w:trPr>
          <w:trHeight w:val="11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51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评价等级（优：90（含）-100分；良：80（含）-90分；中60（含）-80分；差：60分以下）</w:t>
            </w:r>
          </w:p>
        </w:tc>
        <w:tc>
          <w:tcPr>
            <w:tcW w:w="5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优</w:t>
            </w:r>
          </w:p>
        </w:tc>
      </w:tr>
      <w:tr>
        <w:tblPrEx>
          <w:tblCellMar>
            <w:top w:w="0" w:type="dxa"/>
            <w:left w:w="108" w:type="dxa"/>
            <w:bottom w:w="0" w:type="dxa"/>
            <w:right w:w="108" w:type="dxa"/>
          </w:tblCellMar>
        </w:tblPrEx>
        <w:trPr>
          <w:trHeight w:val="691" w:hRule="atLeast"/>
        </w:trPr>
        <w:tc>
          <w:tcPr>
            <w:tcW w:w="8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五、</w:t>
            </w:r>
            <w:r>
              <w:rPr>
                <w:rStyle w:val="10"/>
                <w:lang w:bidi="ar"/>
              </w:rPr>
              <w:t xml:space="preserve"> </w:t>
            </w:r>
            <w:r>
              <w:rPr>
                <w:rStyle w:val="9"/>
                <w:rFonts w:hint="default"/>
                <w:lang w:bidi="ar"/>
              </w:rPr>
              <w:t>存在问题、原因及下一步整改措施</w:t>
            </w:r>
          </w:p>
        </w:tc>
        <w:tc>
          <w:tcPr>
            <w:tcW w:w="8080" w:type="dxa"/>
            <w:gridSpan w:val="8"/>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个别指标因政策变化未完成，下一步将加强政策预见性，以保证完成量化指标。</w:t>
            </w:r>
          </w:p>
        </w:tc>
      </w:tr>
    </w:tbl>
    <w:p>
      <w:pPr>
        <w:numPr>
          <w:ilvl w:val="0"/>
          <w:numId w:val="1"/>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血液供应保障项目自评综述：根据年初设定的绩效目标，血液供应保障项目绩效自评得分为96分（绩效自评表附后）。全年预算数为394.6万元，执行数为394.6万元，完成预算的100%。项目绩效目标完成情况：</w:t>
      </w:r>
      <w:r>
        <w:rPr>
          <w:rFonts w:hint="eastAsia" w:ascii="仿宋_GB2312" w:hAnsi="仿宋_GB2312" w:eastAsia="仿宋_GB2312" w:cs="仿宋_GB2312"/>
          <w:sz w:val="32"/>
          <w:szCs w:val="32"/>
        </w:rPr>
        <w:t>血液供应保障项目资金主要用于采购满足采供血业务需求的设备及设备的维修、校验等，从而保障血液安全。通过该项目实施保障了设备使用合格率、购置质量合格率和购置验收通过率均为100%，发出血液、血液成分合格率达到100%，并使用血机构对供血服务的满意率达到98.08%，无偿献血者满意度达到99.35%。</w:t>
      </w:r>
    </w:p>
    <w:tbl>
      <w:tblPr>
        <w:tblStyle w:val="5"/>
        <w:tblW w:w="9178" w:type="dxa"/>
        <w:tblInd w:w="93" w:type="dxa"/>
        <w:tblLayout w:type="autofit"/>
        <w:tblCellMar>
          <w:top w:w="0" w:type="dxa"/>
          <w:left w:w="108" w:type="dxa"/>
          <w:bottom w:w="0" w:type="dxa"/>
          <w:right w:w="108" w:type="dxa"/>
        </w:tblCellMar>
      </w:tblPr>
      <w:tblGrid>
        <w:gridCol w:w="991"/>
        <w:gridCol w:w="1454"/>
        <w:gridCol w:w="1120"/>
        <w:gridCol w:w="1068"/>
        <w:gridCol w:w="1468"/>
        <w:gridCol w:w="927"/>
        <w:gridCol w:w="1107"/>
        <w:gridCol w:w="386"/>
        <w:gridCol w:w="657"/>
      </w:tblGrid>
      <w:tr>
        <w:tblPrEx>
          <w:tblCellMar>
            <w:top w:w="0" w:type="dxa"/>
            <w:left w:w="108" w:type="dxa"/>
            <w:bottom w:w="0" w:type="dxa"/>
            <w:right w:w="108" w:type="dxa"/>
          </w:tblCellMar>
        </w:tblPrEx>
        <w:trPr>
          <w:trHeight w:val="405" w:hRule="atLeast"/>
        </w:trPr>
        <w:tc>
          <w:tcPr>
            <w:tcW w:w="991"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一、</w:t>
            </w:r>
            <w:r>
              <w:rPr>
                <w:rStyle w:val="12"/>
                <w:lang w:bidi="ar"/>
              </w:rPr>
              <w:t xml:space="preserve"> </w:t>
            </w:r>
            <w:r>
              <w:rPr>
                <w:rFonts w:hint="eastAsia" w:ascii="宋体" w:hAnsi="宋体"/>
                <w:color w:val="000000"/>
                <w:kern w:val="0"/>
                <w:sz w:val="16"/>
                <w:szCs w:val="16"/>
                <w:lang w:bidi="ar"/>
              </w:rPr>
              <w:t>基本情况</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项目名称</w:t>
            </w:r>
          </w:p>
        </w:tc>
        <w:tc>
          <w:tcPr>
            <w:tcW w:w="67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血液供应保障</w:t>
            </w:r>
          </w:p>
        </w:tc>
      </w:tr>
      <w:tr>
        <w:tblPrEx>
          <w:tblCellMar>
            <w:top w:w="0" w:type="dxa"/>
            <w:left w:w="108" w:type="dxa"/>
            <w:bottom w:w="0" w:type="dxa"/>
            <w:right w:w="108" w:type="dxa"/>
          </w:tblCellMar>
        </w:tblPrEx>
        <w:trPr>
          <w:trHeight w:val="295" w:hRule="atLeast"/>
        </w:trPr>
        <w:tc>
          <w:tcPr>
            <w:tcW w:w="991"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olor w:val="000000"/>
                <w:sz w:val="16"/>
                <w:szCs w:val="16"/>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主管部门</w:t>
            </w:r>
          </w:p>
        </w:tc>
        <w:tc>
          <w:tcPr>
            <w:tcW w:w="3656"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卫健委</w:t>
            </w:r>
          </w:p>
        </w:tc>
        <w:tc>
          <w:tcPr>
            <w:tcW w:w="92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实施单位</w:t>
            </w:r>
          </w:p>
        </w:tc>
        <w:tc>
          <w:tcPr>
            <w:tcW w:w="2150"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秦皇岛市中心血站</w:t>
            </w:r>
          </w:p>
        </w:tc>
      </w:tr>
      <w:tr>
        <w:tblPrEx>
          <w:tblCellMar>
            <w:top w:w="0" w:type="dxa"/>
            <w:left w:w="108" w:type="dxa"/>
            <w:bottom w:w="0" w:type="dxa"/>
            <w:right w:w="108" w:type="dxa"/>
          </w:tblCellMar>
        </w:tblPrEx>
        <w:trPr>
          <w:trHeight w:val="253" w:hRule="atLeast"/>
        </w:trPr>
        <w:tc>
          <w:tcPr>
            <w:tcW w:w="99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二、预算执行情况</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年初预算数</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全年预算数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全年执行数</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执行率（%）</w:t>
            </w:r>
          </w:p>
        </w:tc>
      </w:tr>
      <w:tr>
        <w:tblPrEx>
          <w:tblCellMar>
            <w:top w:w="0" w:type="dxa"/>
            <w:left w:w="108" w:type="dxa"/>
            <w:bottom w:w="0" w:type="dxa"/>
            <w:right w:w="108" w:type="dxa"/>
          </w:tblCellMar>
        </w:tblPrEx>
        <w:trPr>
          <w:trHeight w:val="210" w:hRule="atLeast"/>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年度项目资金总额</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445</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394.6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394.6</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267" w:hRule="atLeast"/>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其中：当年财政拨款</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445</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394.6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394.6</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上年结转资金</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6"/>
                <w:szCs w:val="16"/>
              </w:rPr>
            </w:pP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 xml:space="preserve">      其他资金</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6"/>
                <w:szCs w:val="16"/>
              </w:rPr>
            </w:pP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210" w:hRule="atLeast"/>
        </w:trPr>
        <w:tc>
          <w:tcPr>
            <w:tcW w:w="99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三、目标完成情况</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年度预期目标</w:t>
            </w:r>
          </w:p>
        </w:tc>
        <w:tc>
          <w:tcPr>
            <w:tcW w:w="350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具体完成情况</w:t>
            </w:r>
          </w:p>
        </w:tc>
        <w:tc>
          <w:tcPr>
            <w:tcW w:w="1043"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总体完成率</w:t>
            </w:r>
          </w:p>
        </w:tc>
      </w:tr>
      <w:tr>
        <w:tblPrEx>
          <w:tblCellMar>
            <w:top w:w="0" w:type="dxa"/>
            <w:left w:w="108" w:type="dxa"/>
            <w:bottom w:w="0" w:type="dxa"/>
            <w:right w:w="108" w:type="dxa"/>
          </w:tblCellMar>
        </w:tblPrEx>
        <w:trPr>
          <w:trHeight w:val="1227" w:hRule="atLeast"/>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3642" w:type="dxa"/>
            <w:gridSpan w:val="3"/>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根据血站操作规程及管理规范，购入所需通用设备，保障采供血各环节顺利进行。根据用血需求，设立采血场所，配置专用设备，保障血液供应。根据血站操作规程及管理规范，购入满足技术参数的专用设备，保障血液制品质量安全。</w:t>
            </w:r>
          </w:p>
        </w:tc>
        <w:tc>
          <w:tcPr>
            <w:tcW w:w="3502" w:type="dxa"/>
            <w:gridSpan w:val="3"/>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根据用血需求及血站管理规范，购入所需通用设备、专用设备，设立合规采血场所，保障了采供血各环节顺利进行，保障了血液正常供应，确保了血液制品质量安全。</w:t>
            </w:r>
          </w:p>
        </w:tc>
        <w:tc>
          <w:tcPr>
            <w:tcW w:w="1043" w:type="dxa"/>
            <w:gridSpan w:val="2"/>
            <w:tcBorders>
              <w:top w:val="nil"/>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405"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四、年度绩效指标完成情况</w:t>
            </w:r>
          </w:p>
        </w:tc>
        <w:tc>
          <w:tcPr>
            <w:tcW w:w="145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一级指标</w:t>
            </w:r>
          </w:p>
        </w:tc>
        <w:tc>
          <w:tcPr>
            <w:tcW w:w="112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二级指标</w:t>
            </w:r>
          </w:p>
        </w:tc>
        <w:tc>
          <w:tcPr>
            <w:tcW w:w="2536"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三级指标</w:t>
            </w:r>
          </w:p>
        </w:tc>
        <w:tc>
          <w:tcPr>
            <w:tcW w:w="92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预期指标值</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实际完成值</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分值</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自评得分</w:t>
            </w:r>
          </w:p>
        </w:tc>
      </w:tr>
      <w:tr>
        <w:tblPrEx>
          <w:tblCellMar>
            <w:top w:w="0" w:type="dxa"/>
            <w:left w:w="108" w:type="dxa"/>
            <w:bottom w:w="0" w:type="dxa"/>
            <w:right w:w="108" w:type="dxa"/>
          </w:tblCellMar>
        </w:tblPrEx>
        <w:trPr>
          <w:trHeight w:val="21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产出指标（50）</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专业设备购置数量（台）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&gt;=15台</w:t>
            </w:r>
          </w:p>
        </w:tc>
        <w:tc>
          <w:tcPr>
            <w:tcW w:w="110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10台</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3</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电脑购置数量（台）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&gt;=3台</w:t>
            </w:r>
          </w:p>
        </w:tc>
        <w:tc>
          <w:tcPr>
            <w:tcW w:w="110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7</w:t>
            </w:r>
            <w:r>
              <w:rPr>
                <w:rFonts w:hint="eastAsia" w:ascii="宋体" w:hAnsi="宋体"/>
                <w:color w:val="000000"/>
                <w:kern w:val="0"/>
                <w:sz w:val="16"/>
                <w:szCs w:val="16"/>
                <w:lang w:bidi="ar"/>
              </w:rPr>
              <w:t>台</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21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政府采购率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购置合同执行规范率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21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设备使用合格率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购置计划执行率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21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设备到位及时率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10月底前</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通用设备采购成本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&lt;=0.5万</w:t>
            </w:r>
          </w:p>
        </w:tc>
        <w:tc>
          <w:tcPr>
            <w:tcW w:w="110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0.59</w:t>
            </w:r>
            <w:r>
              <w:rPr>
                <w:rFonts w:hint="eastAsia" w:ascii="宋体" w:hAnsi="宋体"/>
                <w:color w:val="000000"/>
                <w:kern w:val="0"/>
                <w:sz w:val="16"/>
                <w:szCs w:val="16"/>
                <w:lang w:bidi="ar"/>
              </w:rPr>
              <w:t>万</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专用设备采购成本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&lt;=185万</w:t>
            </w:r>
          </w:p>
        </w:tc>
        <w:tc>
          <w:tcPr>
            <w:tcW w:w="110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179</w:t>
            </w:r>
            <w:r>
              <w:rPr>
                <w:rFonts w:hint="eastAsia" w:ascii="宋体" w:hAnsi="宋体"/>
                <w:color w:val="000000"/>
                <w:kern w:val="0"/>
                <w:sz w:val="16"/>
                <w:szCs w:val="16"/>
                <w:lang w:bidi="ar"/>
              </w:rPr>
              <w:t>万</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5</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专用设备采购成本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&lt;=65万</w:t>
            </w:r>
          </w:p>
        </w:tc>
        <w:tc>
          <w:tcPr>
            <w:tcW w:w="110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64.38</w:t>
            </w:r>
            <w:r>
              <w:rPr>
                <w:rFonts w:hint="eastAsia" w:ascii="宋体" w:hAnsi="宋体"/>
                <w:color w:val="000000"/>
                <w:kern w:val="0"/>
                <w:sz w:val="16"/>
                <w:szCs w:val="16"/>
                <w:lang w:bidi="ar"/>
              </w:rPr>
              <w:t>万</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restart"/>
            <w:tcBorders>
              <w:top w:val="nil"/>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绩效指标（30）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发出血液、血液成分合格率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15</w:t>
            </w:r>
          </w:p>
        </w:tc>
      </w:tr>
      <w:tr>
        <w:tblPrEx>
          <w:tblCellMar>
            <w:top w:w="0" w:type="dxa"/>
            <w:left w:w="108" w:type="dxa"/>
            <w:bottom w:w="0" w:type="dxa"/>
            <w:right w:w="108" w:type="dxa"/>
          </w:tblCellMar>
        </w:tblPrEx>
        <w:trPr>
          <w:trHeight w:val="40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112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专用设备的使用率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15</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满意度指标（10）</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献血者对献血服务满意率</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&gt;=95%</w:t>
            </w:r>
          </w:p>
        </w:tc>
        <w:tc>
          <w:tcPr>
            <w:tcW w:w="110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99.35%</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26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用血机构对供血服务的满意率</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98.08%</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68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2536" w:type="dxa"/>
            <w:gridSpan w:val="2"/>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满意度大于等于90%的得10分；小于90%且大于等于80%得8分，小于80%且大于等于60%得5分，小于60%不得分。</w:t>
            </w:r>
          </w:p>
        </w:tc>
        <w:tc>
          <w:tcPr>
            <w:tcW w:w="927"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1107"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386"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r>
      <w:tr>
        <w:tblPrEx>
          <w:tblCellMar>
            <w:top w:w="0" w:type="dxa"/>
            <w:left w:w="108" w:type="dxa"/>
            <w:bottom w:w="0" w:type="dxa"/>
            <w:right w:w="108" w:type="dxa"/>
          </w:tblCellMar>
        </w:tblPrEx>
        <w:trPr>
          <w:trHeight w:val="1023"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454"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预算执行率（10）</w:t>
            </w:r>
          </w:p>
        </w:tc>
        <w:tc>
          <w:tcPr>
            <w:tcW w:w="112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w:t>
            </w:r>
          </w:p>
        </w:tc>
        <w:tc>
          <w:tcPr>
            <w:tcW w:w="2536"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项目完成且执行数控制在年度预算规模之内，得10分；项目尚未完成，预算执行率小于90%且大于等于80%得7分，小于80%且大于等于60%得5分，小于60%不得分。</w:t>
            </w:r>
          </w:p>
        </w:tc>
        <w:tc>
          <w:tcPr>
            <w:tcW w:w="927"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1107"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38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22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5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总分（共计100分）</w:t>
            </w:r>
          </w:p>
        </w:tc>
        <w:tc>
          <w:tcPr>
            <w:tcW w:w="65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96</w:t>
            </w:r>
          </w:p>
        </w:tc>
      </w:tr>
      <w:tr>
        <w:tblPrEx>
          <w:tblCellMar>
            <w:top w:w="0" w:type="dxa"/>
            <w:left w:w="108" w:type="dxa"/>
            <w:bottom w:w="0" w:type="dxa"/>
            <w:right w:w="108" w:type="dxa"/>
          </w:tblCellMar>
        </w:tblPrEx>
        <w:trPr>
          <w:trHeight w:val="21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53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评价等级（优：90（含）-100分；良：80（含）-90分；中60（含）-80分；差：60分以下）</w:t>
            </w:r>
          </w:p>
        </w:tc>
        <w:tc>
          <w:tcPr>
            <w:tcW w:w="65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优</w:t>
            </w:r>
          </w:p>
        </w:tc>
      </w:tr>
      <w:tr>
        <w:tblPrEx>
          <w:tblCellMar>
            <w:top w:w="0" w:type="dxa"/>
            <w:left w:w="108" w:type="dxa"/>
            <w:bottom w:w="0" w:type="dxa"/>
            <w:right w:w="108" w:type="dxa"/>
          </w:tblCellMar>
        </w:tblPrEx>
        <w:trPr>
          <w:trHeight w:val="809" w:hRule="atLeast"/>
        </w:trPr>
        <w:tc>
          <w:tcPr>
            <w:tcW w:w="99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五、</w:t>
            </w:r>
            <w:r>
              <w:rPr>
                <w:rStyle w:val="12"/>
                <w:lang w:bidi="ar"/>
              </w:rPr>
              <w:t xml:space="preserve"> </w:t>
            </w:r>
            <w:r>
              <w:rPr>
                <w:rFonts w:hint="eastAsia" w:ascii="宋体" w:hAnsi="宋体"/>
                <w:color w:val="000000"/>
                <w:kern w:val="0"/>
                <w:sz w:val="16"/>
                <w:szCs w:val="16"/>
                <w:lang w:bidi="ar"/>
              </w:rPr>
              <w:t>存在问题、原因及下一步整改措施</w:t>
            </w:r>
          </w:p>
        </w:tc>
        <w:tc>
          <w:tcPr>
            <w:tcW w:w="8187" w:type="dxa"/>
            <w:gridSpan w:val="8"/>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个别指标因政策变化未完成，下一步将加强政策预见性，以保证完成量化指标。</w:t>
            </w:r>
          </w:p>
        </w:tc>
      </w:tr>
    </w:tbl>
    <w:p>
      <w:pPr>
        <w:numPr>
          <w:ilvl w:val="0"/>
          <w:numId w:val="1"/>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采供血及献血者服务项目自评综述：根据年初设定的绩效目标，采供血及献血者服务项目绩效自评得分为96分（绩效自评表附后）。全年预算数为1505万元，执行数为1505万元，完成预算的100%。项目绩效目标完成情况：</w:t>
      </w:r>
      <w:r>
        <w:rPr>
          <w:rFonts w:hint="eastAsia" w:ascii="仿宋_GB2312" w:hAnsi="仿宋_GB2312" w:eastAsia="仿宋_GB2312" w:cs="仿宋_GB2312"/>
          <w:sz w:val="32"/>
          <w:szCs w:val="32"/>
        </w:rPr>
        <w:t>采供血及献血者服务项目资金主要用于满足临床用血需求，采集血液必需相关支出。具体应用支出范围是采购卫生材料、献血者献血前后餐点、献血者纪念品、试剂、血袋、耗材、血液包装、仪器设备检验维修等费用，业务用水电、业务用车、人力资源工资保险、业务科室费用，电脑耗材、医疗垃圾废物处理、站内基础维修和其他零星支出。用血机构对供血服务的满意率达到98.08%，无偿献血者满意度达到99.35%。</w:t>
      </w:r>
    </w:p>
    <w:tbl>
      <w:tblPr>
        <w:tblStyle w:val="5"/>
        <w:tblW w:w="8719" w:type="dxa"/>
        <w:tblInd w:w="93" w:type="dxa"/>
        <w:tblLayout w:type="autofit"/>
        <w:tblCellMar>
          <w:top w:w="0" w:type="dxa"/>
          <w:left w:w="108" w:type="dxa"/>
          <w:bottom w:w="0" w:type="dxa"/>
          <w:right w:w="108" w:type="dxa"/>
        </w:tblCellMar>
      </w:tblPr>
      <w:tblGrid>
        <w:gridCol w:w="908"/>
        <w:gridCol w:w="1324"/>
        <w:gridCol w:w="1016"/>
        <w:gridCol w:w="1015"/>
        <w:gridCol w:w="1390"/>
        <w:gridCol w:w="1045"/>
        <w:gridCol w:w="1023"/>
        <w:gridCol w:w="389"/>
        <w:gridCol w:w="609"/>
      </w:tblGrid>
      <w:tr>
        <w:tblPrEx>
          <w:tblCellMar>
            <w:top w:w="0" w:type="dxa"/>
            <w:left w:w="108" w:type="dxa"/>
            <w:bottom w:w="0" w:type="dxa"/>
            <w:right w:w="108" w:type="dxa"/>
          </w:tblCellMar>
        </w:tblPrEx>
        <w:trPr>
          <w:trHeight w:val="300" w:hRule="atLeast"/>
        </w:trPr>
        <w:tc>
          <w:tcPr>
            <w:tcW w:w="908"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一、</w:t>
            </w:r>
            <w:r>
              <w:rPr>
                <w:rFonts w:cs="Calibri"/>
                <w:color w:val="000000"/>
                <w:kern w:val="0"/>
                <w:sz w:val="16"/>
                <w:szCs w:val="16"/>
                <w:lang w:bidi="ar"/>
              </w:rPr>
              <w:t xml:space="preserve"> </w:t>
            </w:r>
            <w:r>
              <w:rPr>
                <w:rFonts w:hint="eastAsia" w:ascii="宋体" w:hAnsi="宋体"/>
                <w:color w:val="000000"/>
                <w:kern w:val="0"/>
                <w:sz w:val="16"/>
                <w:szCs w:val="16"/>
                <w:lang w:bidi="ar"/>
              </w:rPr>
              <w:t>基本情况</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项目名称</w:t>
            </w:r>
          </w:p>
        </w:tc>
        <w:tc>
          <w:tcPr>
            <w:tcW w:w="64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采供血及献血者服务</w:t>
            </w:r>
          </w:p>
        </w:tc>
      </w:tr>
      <w:tr>
        <w:tblPrEx>
          <w:tblCellMar>
            <w:top w:w="0" w:type="dxa"/>
            <w:left w:w="108" w:type="dxa"/>
            <w:bottom w:w="0" w:type="dxa"/>
            <w:right w:w="108" w:type="dxa"/>
          </w:tblCellMar>
        </w:tblPrEx>
        <w:trPr>
          <w:trHeight w:val="154" w:hRule="atLeast"/>
        </w:trPr>
        <w:tc>
          <w:tcPr>
            <w:tcW w:w="908"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olor w:val="000000"/>
                <w:sz w:val="16"/>
                <w:szCs w:val="16"/>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主管部门</w:t>
            </w:r>
          </w:p>
        </w:tc>
        <w:tc>
          <w:tcPr>
            <w:tcW w:w="3421"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卫健委</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实施单位</w:t>
            </w:r>
          </w:p>
        </w:tc>
        <w:tc>
          <w:tcPr>
            <w:tcW w:w="2021"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秦皇岛市中心血站</w:t>
            </w:r>
          </w:p>
        </w:tc>
      </w:tr>
      <w:tr>
        <w:tblPrEx>
          <w:tblCellMar>
            <w:top w:w="0" w:type="dxa"/>
            <w:left w:w="108" w:type="dxa"/>
            <w:bottom w:w="0" w:type="dxa"/>
            <w:right w:w="108" w:type="dxa"/>
          </w:tblCellMar>
        </w:tblPrEx>
        <w:trPr>
          <w:trHeight w:val="300" w:hRule="atLeast"/>
        </w:trPr>
        <w:tc>
          <w:tcPr>
            <w:tcW w:w="90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二、预算执行情况</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年初预算数</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全年预算数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全年执行数</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执行率（%）</w:t>
            </w: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年度项目资金总额</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1505</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1505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1505</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其中：当年财政拨款</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1505</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1505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1505</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上年结转资金</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6"/>
                <w:szCs w:val="16"/>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 xml:space="preserve">      其他资金</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 w:val="16"/>
                <w:szCs w:val="16"/>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300" w:hRule="atLeast"/>
        </w:trPr>
        <w:tc>
          <w:tcPr>
            <w:tcW w:w="90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三、目标完成情况</w:t>
            </w:r>
          </w:p>
        </w:tc>
        <w:tc>
          <w:tcPr>
            <w:tcW w:w="3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年度预期目标</w:t>
            </w:r>
          </w:p>
        </w:tc>
        <w:tc>
          <w:tcPr>
            <w:tcW w:w="345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具体完成情况</w:t>
            </w:r>
          </w:p>
        </w:tc>
        <w:tc>
          <w:tcPr>
            <w:tcW w:w="998"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总体完成率</w:t>
            </w:r>
          </w:p>
        </w:tc>
      </w:tr>
      <w:tr>
        <w:tblPrEx>
          <w:tblCellMar>
            <w:top w:w="0" w:type="dxa"/>
            <w:left w:w="108" w:type="dxa"/>
            <w:bottom w:w="0" w:type="dxa"/>
            <w:right w:w="108" w:type="dxa"/>
          </w:tblCellMar>
        </w:tblPrEx>
        <w:trPr>
          <w:trHeight w:val="1178" w:hRule="atLeast"/>
        </w:trPr>
        <w:tc>
          <w:tcPr>
            <w:tcW w:w="90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3355" w:type="dxa"/>
            <w:gridSpan w:val="3"/>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制备临床用血液制品，提供安全血液。组织员工培训，满足采供血环节操作规范要求。对设备、车辆进行维修校验，保障满足采供血各环节技术要求。对耗材、设备、试剂等进行质控检测，保障血液质量。对产生的医疗废物归集，转交，满足环保要求。购置采供血环节所需耗材。为采供血提供人力资源保障。</w:t>
            </w:r>
          </w:p>
        </w:tc>
        <w:tc>
          <w:tcPr>
            <w:tcW w:w="3458"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对员工进行了采供血环节培训，对设备、车辆进行了维修，对耗材试剂进行了质控检测，为临床提供了安全血液。为采供血提供了人力保障。医疗废物归集收集及时，满足环保要求。</w:t>
            </w:r>
          </w:p>
        </w:tc>
        <w:tc>
          <w:tcPr>
            <w:tcW w:w="998" w:type="dxa"/>
            <w:gridSpan w:val="2"/>
            <w:tcBorders>
              <w:top w:val="nil"/>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300"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四、年度绩效指标完成情况</w:t>
            </w:r>
          </w:p>
        </w:tc>
        <w:tc>
          <w:tcPr>
            <w:tcW w:w="1324" w:type="dxa"/>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一级指标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二级指标</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三级指标</w:t>
            </w:r>
          </w:p>
        </w:tc>
        <w:tc>
          <w:tcPr>
            <w:tcW w:w="0" w:type="auto"/>
            <w:tcBorders>
              <w:top w:val="single" w:color="000000" w:sz="4" w:space="0"/>
              <w:left w:val="nil"/>
              <w:bottom w:val="nil"/>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预期指标值</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实际完成值</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分值</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自评得分</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产出指标（50）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数量指标</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医疗废物归集、收集次数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&gt;=1次/天</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2次/天</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4</w:t>
            </w: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提供用血数量</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&gt;=90000单位</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114000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4</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外聘人员数量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&gt;=65人</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60</w:t>
            </w:r>
            <w:r>
              <w:rPr>
                <w:rFonts w:hint="eastAsia" w:ascii="宋体" w:hAnsi="宋体"/>
                <w:color w:val="000000"/>
                <w:kern w:val="0"/>
                <w:sz w:val="16"/>
                <w:szCs w:val="16"/>
                <w:lang w:bidi="ar"/>
              </w:rPr>
              <w:t>人</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0</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购置采血、化验用耗材的数量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&gt;=500种</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&gt;600</w:t>
            </w:r>
            <w:r>
              <w:rPr>
                <w:rFonts w:hint="eastAsia" w:ascii="宋体" w:hAnsi="宋体"/>
                <w:color w:val="000000"/>
                <w:kern w:val="0"/>
                <w:sz w:val="16"/>
                <w:szCs w:val="16"/>
                <w:lang w:bidi="ar"/>
              </w:rPr>
              <w:t>种</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质量指标</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血液标签粘贴合格率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医疗废物交接完成率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员工培训年度完成率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血液检测率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血液初筛符合率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&gt;=95%</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99.40%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设备检测合格率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质控抽检率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耗材购置的有效使用率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&gt;=70%</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83.33%</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员工培训次数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&gt;=10次</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75</w:t>
            </w:r>
            <w:r>
              <w:rPr>
                <w:rFonts w:hint="eastAsia" w:ascii="宋体" w:hAnsi="宋体"/>
                <w:color w:val="000000"/>
                <w:kern w:val="0"/>
                <w:sz w:val="16"/>
                <w:szCs w:val="16"/>
                <w:lang w:bidi="ar"/>
              </w:rPr>
              <w:t>学时</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每台车全年维修次数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&gt;=12次</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8</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0</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献血者人数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&gt;=30000人</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30366</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机采献血员人数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&gt;=2500人</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2843</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每台设备全年维修次数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&gt;=3次</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员工培训及时率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急救送血30分钟出车及时率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机采献血者食品供应成本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&lt;=30元/人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r>
              <w:rPr>
                <w:rFonts w:hint="eastAsia" w:ascii="宋体" w:hAnsi="宋体"/>
                <w:color w:val="000000"/>
                <w:kern w:val="0"/>
                <w:sz w:val="16"/>
                <w:szCs w:val="16"/>
                <w:lang w:bidi="ar"/>
              </w:rPr>
              <w:t>元</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全血献血者食品供应成本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&lt;=15元/人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7</w:t>
            </w:r>
            <w:r>
              <w:rPr>
                <w:rFonts w:hint="eastAsia" w:ascii="宋体" w:hAnsi="宋体"/>
                <w:color w:val="000000"/>
                <w:kern w:val="0"/>
                <w:sz w:val="16"/>
                <w:szCs w:val="16"/>
                <w:lang w:bidi="ar"/>
              </w:rPr>
              <w:t>元</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机采献血者发放纪念品成本</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&lt;=100元/单位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50</w:t>
            </w:r>
            <w:r>
              <w:rPr>
                <w:rFonts w:hint="eastAsia" w:ascii="宋体" w:hAnsi="宋体"/>
                <w:color w:val="000000"/>
                <w:kern w:val="0"/>
                <w:sz w:val="16"/>
                <w:szCs w:val="16"/>
                <w:lang w:bidi="ar"/>
              </w:rPr>
              <w:t>元</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nil"/>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全血献血者纪念品发放成本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&lt;=50元/人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38.16</w:t>
            </w:r>
            <w:r>
              <w:rPr>
                <w:rFonts w:hint="eastAsia" w:ascii="宋体" w:hAnsi="宋体"/>
                <w:color w:val="000000"/>
                <w:kern w:val="0"/>
                <w:sz w:val="16"/>
                <w:szCs w:val="16"/>
                <w:lang w:bidi="ar"/>
              </w:rPr>
              <w:t>元</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2</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restart"/>
            <w:tcBorders>
              <w:top w:val="nil"/>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绩效指标（30）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保证全市临床用血需求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发出的血液、血液成分合格率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医疗废物处理率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300"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nil"/>
              <w:left w:val="nil"/>
              <w:bottom w:val="nil"/>
              <w:right w:val="single" w:color="000000" w:sz="4" w:space="0"/>
            </w:tcBorders>
            <w:shd w:val="clear" w:color="auto" w:fill="auto"/>
            <w:vAlign w:val="center"/>
          </w:tcPr>
          <w:p>
            <w:pPr>
              <w:jc w:val="center"/>
              <w:rPr>
                <w:rFonts w:ascii="宋体" w:hAnsi="宋体"/>
                <w:color w:val="000000"/>
                <w:sz w:val="16"/>
                <w:szCs w:val="16"/>
              </w:rPr>
            </w:pPr>
          </w:p>
        </w:tc>
        <w:tc>
          <w:tcPr>
            <w:tcW w:w="101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持续保证全市临床用血需求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&gt;=80%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满意度指标（10）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用血机构对供血服务满意率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&gt;=90%</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98.08%</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献血者对献血服务满意率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color w:val="000000"/>
                <w:sz w:val="16"/>
                <w:szCs w:val="16"/>
              </w:rPr>
            </w:pPr>
            <w:r>
              <w:rPr>
                <w:rFonts w:cs="Calibri"/>
                <w:color w:val="000000"/>
                <w:kern w:val="0"/>
                <w:sz w:val="16"/>
                <w:szCs w:val="16"/>
                <w:lang w:bidi="ar"/>
              </w:rPr>
              <w:t>&gt;=95%</w:t>
            </w:r>
          </w:p>
        </w:tc>
        <w:tc>
          <w:tcPr>
            <w:tcW w:w="102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99.35%</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5</w:t>
            </w:r>
          </w:p>
        </w:tc>
      </w:tr>
      <w:tr>
        <w:tblPrEx>
          <w:tblCellMar>
            <w:top w:w="0" w:type="dxa"/>
            <w:left w:w="108" w:type="dxa"/>
            <w:bottom w:w="0" w:type="dxa"/>
            <w:right w:w="108" w:type="dxa"/>
          </w:tblCellMar>
        </w:tblPrEx>
        <w:trPr>
          <w:trHeight w:val="307"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2405" w:type="dxa"/>
            <w:gridSpan w:val="2"/>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满意度大于等于90%的得10分；小于90%且大于等于80%得8分，小于80%且大于等于60%得5分，小于60%不得分。</w:t>
            </w:r>
          </w:p>
        </w:tc>
        <w:tc>
          <w:tcPr>
            <w:tcW w:w="0" w:type="auto"/>
            <w:tcBorders>
              <w:top w:val="nil"/>
              <w:left w:val="single" w:color="000000" w:sz="4" w:space="0"/>
              <w:bottom w:val="nil"/>
              <w:right w:val="single" w:color="000000" w:sz="4" w:space="0"/>
            </w:tcBorders>
            <w:shd w:val="clear" w:color="auto" w:fill="auto"/>
            <w:noWrap/>
            <w:vAlign w:val="center"/>
          </w:tcPr>
          <w:p>
            <w:pPr>
              <w:jc w:val="center"/>
              <w:rPr>
                <w:rFonts w:cs="Calibri"/>
                <w:color w:val="000000"/>
                <w:sz w:val="16"/>
                <w:szCs w:val="16"/>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389"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609"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r>
      <w:tr>
        <w:tblPrEx>
          <w:tblCellMar>
            <w:top w:w="0" w:type="dxa"/>
            <w:left w:w="108" w:type="dxa"/>
            <w:bottom w:w="0" w:type="dxa"/>
            <w:right w:w="108" w:type="dxa"/>
          </w:tblCellMar>
        </w:tblPrEx>
        <w:trPr>
          <w:trHeight w:val="886"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324"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预算执行率（10）</w:t>
            </w:r>
          </w:p>
        </w:tc>
        <w:tc>
          <w:tcPr>
            <w:tcW w:w="10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w:t>
            </w:r>
          </w:p>
        </w:tc>
        <w:tc>
          <w:tcPr>
            <w:tcW w:w="240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项目完成且执行数控制在年度预算规模之内，得10分；项目尚未完成，预算执行率小于90%且大于等于80%得7分，小于80%且大于等于60%得5分，小于60%不得分。</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cs="Calibri"/>
                <w:color w:val="000000"/>
                <w:sz w:val="16"/>
                <w:szCs w:val="16"/>
              </w:rPr>
            </w:pPr>
          </w:p>
        </w:tc>
        <w:tc>
          <w:tcPr>
            <w:tcW w:w="1023" w:type="dxa"/>
            <w:tcBorders>
              <w:top w:val="single" w:color="000000" w:sz="4" w:space="0"/>
              <w:left w:val="single" w:color="000000" w:sz="4" w:space="0"/>
              <w:bottom w:val="nil"/>
              <w:right w:val="single" w:color="000000" w:sz="4" w:space="0"/>
            </w:tcBorders>
            <w:shd w:val="clear" w:color="auto" w:fill="auto"/>
            <w:vAlign w:val="center"/>
          </w:tcPr>
          <w:p>
            <w:pPr>
              <w:jc w:val="center"/>
              <w:rPr>
                <w:rFonts w:cs="Calibri"/>
                <w:color w:val="000000"/>
                <w:sz w:val="16"/>
                <w:szCs w:val="16"/>
              </w:rPr>
            </w:pPr>
          </w:p>
        </w:tc>
        <w:tc>
          <w:tcPr>
            <w:tcW w:w="38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20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总分（共计100分）</w:t>
            </w:r>
          </w:p>
        </w:tc>
        <w:tc>
          <w:tcPr>
            <w:tcW w:w="60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96</w:t>
            </w:r>
          </w:p>
        </w:tc>
      </w:tr>
      <w:tr>
        <w:tblPrEx>
          <w:tblCellMar>
            <w:top w:w="0" w:type="dxa"/>
            <w:left w:w="108" w:type="dxa"/>
            <w:bottom w:w="0" w:type="dxa"/>
            <w:right w:w="108" w:type="dxa"/>
          </w:tblCellMar>
        </w:tblPrEx>
        <w:trPr>
          <w:trHeight w:val="154"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20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评价等级（优：90（含）-100分；良：80（含）-90分；中60（含）-80分；差：60分以下）</w:t>
            </w:r>
          </w:p>
        </w:tc>
        <w:tc>
          <w:tcPr>
            <w:tcW w:w="60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优</w:t>
            </w:r>
          </w:p>
        </w:tc>
      </w:tr>
      <w:tr>
        <w:tblPrEx>
          <w:tblCellMar>
            <w:top w:w="0" w:type="dxa"/>
            <w:left w:w="108" w:type="dxa"/>
            <w:bottom w:w="0" w:type="dxa"/>
            <w:right w:w="108" w:type="dxa"/>
          </w:tblCellMar>
        </w:tblPrEx>
        <w:trPr>
          <w:trHeight w:val="746" w:hRule="atLeast"/>
        </w:trPr>
        <w:tc>
          <w:tcPr>
            <w:tcW w:w="90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五、</w:t>
            </w:r>
            <w:r>
              <w:rPr>
                <w:rFonts w:cs="Calibri"/>
                <w:color w:val="000000"/>
                <w:kern w:val="0"/>
                <w:sz w:val="16"/>
                <w:szCs w:val="16"/>
                <w:lang w:bidi="ar"/>
              </w:rPr>
              <w:t xml:space="preserve"> </w:t>
            </w:r>
            <w:r>
              <w:rPr>
                <w:rFonts w:hint="eastAsia" w:ascii="宋体" w:hAnsi="宋体"/>
                <w:color w:val="000000"/>
                <w:kern w:val="0"/>
                <w:sz w:val="16"/>
                <w:szCs w:val="16"/>
                <w:lang w:bidi="ar"/>
              </w:rPr>
              <w:t>存在问题、原因及下一步整改措施</w:t>
            </w:r>
          </w:p>
        </w:tc>
        <w:tc>
          <w:tcPr>
            <w:tcW w:w="7811" w:type="dxa"/>
            <w:gridSpan w:val="8"/>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个别指标因政策变化未完成，下一步将加强政策预见性，以保证完成量化指标。</w:t>
            </w:r>
          </w:p>
        </w:tc>
      </w:tr>
    </w:tbl>
    <w:p>
      <w:pPr>
        <w:numPr>
          <w:ilvl w:val="0"/>
          <w:numId w:val="1"/>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下达2020年重大传染病防控经费预算项目自评综述：根据年初设定的绩效目标，下达2020年重大传染病防控经费预算项目绩效自评得分为98分（绩效自评表附后）。全年预算数为147.6万元，执行数为147.6万元，完成预算的100%。项目绩效目标完成情况：完成预防艾滋病、防治血液安全工作；开展血液核酸检测工作，开展人类嗜T淋巴细胞病毒抽样检测；开展无偿献血公益宣传及质量管理。</w:t>
      </w:r>
    </w:p>
    <w:tbl>
      <w:tblPr>
        <w:tblStyle w:val="5"/>
        <w:tblW w:w="8779" w:type="dxa"/>
        <w:tblInd w:w="93" w:type="dxa"/>
        <w:tblLayout w:type="autofit"/>
        <w:tblCellMar>
          <w:top w:w="0" w:type="dxa"/>
          <w:left w:w="108" w:type="dxa"/>
          <w:bottom w:w="0" w:type="dxa"/>
          <w:right w:w="108" w:type="dxa"/>
        </w:tblCellMar>
      </w:tblPr>
      <w:tblGrid>
        <w:gridCol w:w="819"/>
        <w:gridCol w:w="1191"/>
        <w:gridCol w:w="913"/>
        <w:gridCol w:w="2287"/>
        <w:gridCol w:w="1811"/>
        <w:gridCol w:w="788"/>
        <w:gridCol w:w="418"/>
        <w:gridCol w:w="552"/>
      </w:tblGrid>
      <w:tr>
        <w:tblPrEx>
          <w:tblCellMar>
            <w:top w:w="0" w:type="dxa"/>
            <w:left w:w="108" w:type="dxa"/>
            <w:bottom w:w="0" w:type="dxa"/>
            <w:right w:w="108" w:type="dxa"/>
          </w:tblCellMar>
        </w:tblPrEx>
        <w:trPr>
          <w:trHeight w:val="266" w:hRule="atLeast"/>
        </w:trPr>
        <w:tc>
          <w:tcPr>
            <w:tcW w:w="819"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一、</w:t>
            </w:r>
            <w:r>
              <w:rPr>
                <w:rStyle w:val="13"/>
                <w:lang w:bidi="ar"/>
              </w:rPr>
              <w:t xml:space="preserve"> </w:t>
            </w:r>
            <w:r>
              <w:rPr>
                <w:rFonts w:hint="eastAsia" w:ascii="宋体" w:hAnsi="宋体"/>
                <w:color w:val="000000"/>
                <w:kern w:val="0"/>
                <w:sz w:val="16"/>
                <w:szCs w:val="16"/>
                <w:lang w:bidi="ar"/>
              </w:rPr>
              <w:t>基本情况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项目名称</w:t>
            </w:r>
          </w:p>
        </w:tc>
        <w:tc>
          <w:tcPr>
            <w:tcW w:w="67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2020年重大传染病防控经费</w:t>
            </w:r>
          </w:p>
        </w:tc>
      </w:tr>
      <w:tr>
        <w:tblPrEx>
          <w:tblCellMar>
            <w:top w:w="0" w:type="dxa"/>
            <w:left w:w="108" w:type="dxa"/>
            <w:bottom w:w="0" w:type="dxa"/>
            <w:right w:w="108" w:type="dxa"/>
          </w:tblCellMar>
        </w:tblPrEx>
        <w:trPr>
          <w:trHeight w:val="266" w:hRule="atLeast"/>
        </w:trPr>
        <w:tc>
          <w:tcPr>
            <w:tcW w:w="819"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主管部门</w:t>
            </w:r>
          </w:p>
        </w:tc>
        <w:tc>
          <w:tcPr>
            <w:tcW w:w="3200"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秦皇岛市卫生健康委员会</w:t>
            </w:r>
          </w:p>
        </w:tc>
        <w:tc>
          <w:tcPr>
            <w:tcW w:w="181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实施单位</w:t>
            </w:r>
          </w:p>
        </w:tc>
        <w:tc>
          <w:tcPr>
            <w:tcW w:w="1758"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秦皇岛市中心血站</w:t>
            </w:r>
          </w:p>
        </w:tc>
      </w:tr>
      <w:tr>
        <w:tblPrEx>
          <w:tblCellMar>
            <w:top w:w="0" w:type="dxa"/>
            <w:left w:w="108" w:type="dxa"/>
            <w:bottom w:w="0" w:type="dxa"/>
            <w:right w:w="108" w:type="dxa"/>
          </w:tblCellMar>
        </w:tblPrEx>
        <w:trPr>
          <w:trHeight w:val="266" w:hRule="atLeast"/>
        </w:trPr>
        <w:tc>
          <w:tcPr>
            <w:tcW w:w="81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二、预算执行情况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年初预算数</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全年预算数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全年执行数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执行率（%）</w:t>
            </w: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年度项目资金总额</w:t>
            </w:r>
          </w:p>
        </w:tc>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147.6</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147.6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147.6</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其中：当年财政拨款</w:t>
            </w:r>
          </w:p>
        </w:tc>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上年结转资金</w:t>
            </w:r>
          </w:p>
        </w:tc>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147.6</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147.6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olor w:val="000000"/>
                <w:sz w:val="16"/>
                <w:szCs w:val="16"/>
              </w:rPr>
            </w:pPr>
            <w:r>
              <w:rPr>
                <w:rFonts w:hint="eastAsia" w:ascii="宋体" w:hAnsi="宋体"/>
                <w:color w:val="000000"/>
                <w:kern w:val="0"/>
                <w:sz w:val="16"/>
                <w:szCs w:val="16"/>
                <w:lang w:bidi="ar"/>
              </w:rPr>
              <w:t>147.6</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 xml:space="preserve">      其他资金</w:t>
            </w:r>
          </w:p>
        </w:tc>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Calibri"/>
                <w:color w:val="000000"/>
                <w:szCs w:val="21"/>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olor w:val="000000"/>
                <w:sz w:val="16"/>
                <w:szCs w:val="16"/>
              </w:rPr>
            </w:pP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r>
      <w:tr>
        <w:tblPrEx>
          <w:tblCellMar>
            <w:top w:w="0" w:type="dxa"/>
            <w:left w:w="108" w:type="dxa"/>
            <w:bottom w:w="0" w:type="dxa"/>
            <w:right w:w="108" w:type="dxa"/>
          </w:tblCellMar>
        </w:tblPrEx>
        <w:trPr>
          <w:trHeight w:val="266" w:hRule="atLeast"/>
        </w:trPr>
        <w:tc>
          <w:tcPr>
            <w:tcW w:w="81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三、目标完成情况</w:t>
            </w:r>
          </w:p>
        </w:tc>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年度预期目标</w:t>
            </w:r>
          </w:p>
        </w:tc>
        <w:tc>
          <w:tcPr>
            <w:tcW w:w="259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具体完成情况</w:t>
            </w:r>
          </w:p>
        </w:tc>
        <w:tc>
          <w:tcPr>
            <w:tcW w:w="970"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总体完成率</w:t>
            </w:r>
          </w:p>
        </w:tc>
      </w:tr>
      <w:tr>
        <w:tblPrEx>
          <w:tblCellMar>
            <w:top w:w="0" w:type="dxa"/>
            <w:left w:w="108" w:type="dxa"/>
            <w:bottom w:w="0" w:type="dxa"/>
            <w:right w:w="108" w:type="dxa"/>
          </w:tblCellMar>
        </w:tblPrEx>
        <w:trPr>
          <w:trHeight w:val="519" w:hRule="atLeast"/>
        </w:trPr>
        <w:tc>
          <w:tcPr>
            <w:tcW w:w="8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olor w:val="000000"/>
                <w:sz w:val="16"/>
                <w:szCs w:val="16"/>
              </w:rPr>
            </w:pPr>
          </w:p>
        </w:tc>
        <w:tc>
          <w:tcPr>
            <w:tcW w:w="4391" w:type="dxa"/>
            <w:gridSpan w:val="3"/>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预防艾滋病，防治血液安全。</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开展血液核酸检测工作，开展人类嗜T淋巴细胞病毒抽样检测，</w:t>
            </w:r>
            <w:r>
              <w:rPr>
                <w:rFonts w:hint="eastAsia" w:ascii="宋体" w:hAnsi="宋体"/>
                <w:color w:val="000000"/>
                <w:kern w:val="0"/>
                <w:sz w:val="16"/>
                <w:szCs w:val="16"/>
                <w:lang w:bidi="ar"/>
              </w:rPr>
              <w:br w:type="textWrapping"/>
            </w:r>
            <w:r>
              <w:rPr>
                <w:rFonts w:hint="eastAsia" w:ascii="宋体" w:hAnsi="宋体"/>
                <w:color w:val="000000"/>
                <w:kern w:val="0"/>
                <w:sz w:val="16"/>
                <w:szCs w:val="16"/>
                <w:lang w:bidi="ar"/>
              </w:rPr>
              <w:t>开展无偿献血公益宣传及质量管理。</w:t>
            </w:r>
          </w:p>
        </w:tc>
        <w:tc>
          <w:tcPr>
            <w:tcW w:w="2599" w:type="dxa"/>
            <w:gridSpan w:val="2"/>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完成相关检测任务，进行无偿献血宣传。</w:t>
            </w:r>
          </w:p>
        </w:tc>
        <w:tc>
          <w:tcPr>
            <w:tcW w:w="970" w:type="dxa"/>
            <w:gridSpan w:val="2"/>
            <w:tcBorders>
              <w:top w:val="nil"/>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100%</w:t>
            </w:r>
          </w:p>
        </w:tc>
      </w:tr>
      <w:tr>
        <w:tblPrEx>
          <w:tblCellMar>
            <w:top w:w="0" w:type="dxa"/>
            <w:left w:w="108" w:type="dxa"/>
            <w:bottom w:w="0" w:type="dxa"/>
            <w:right w:w="108" w:type="dxa"/>
          </w:tblCellMar>
        </w:tblPrEx>
        <w:trPr>
          <w:trHeight w:val="519"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四、年度绩效指标完成情况</w:t>
            </w:r>
          </w:p>
        </w:tc>
        <w:tc>
          <w:tcPr>
            <w:tcW w:w="119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一级指标</w:t>
            </w:r>
          </w:p>
        </w:tc>
        <w:tc>
          <w:tcPr>
            <w:tcW w:w="913"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二级指标</w:t>
            </w:r>
          </w:p>
        </w:tc>
        <w:tc>
          <w:tcPr>
            <w:tcW w:w="228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三级指标</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预期指标值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实际完成值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分值</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自评得分</w:t>
            </w: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91" w:type="dxa"/>
            <w:vMerge w:val="restart"/>
            <w:tcBorders>
              <w:top w:val="single" w:color="000000" w:sz="4" w:space="0"/>
              <w:left w:val="nil"/>
              <w:bottom w:val="nil"/>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产出指标（50）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数量指标</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人类嗜T淋巴细胞病毒抽样检测样本数</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&gt;=5500人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6000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15</w:t>
            </w:r>
          </w:p>
        </w:tc>
      </w:tr>
      <w:tr>
        <w:tblPrEx>
          <w:tblCellMar>
            <w:top w:w="0" w:type="dxa"/>
            <w:left w:w="108" w:type="dxa"/>
            <w:bottom w:w="0" w:type="dxa"/>
            <w:right w:w="108" w:type="dxa"/>
          </w:tblCellMar>
        </w:tblPrEx>
        <w:trPr>
          <w:trHeight w:val="25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91" w:type="dxa"/>
            <w:vMerge w:val="continue"/>
            <w:tcBorders>
              <w:top w:val="single" w:color="000000" w:sz="4" w:space="0"/>
              <w:left w:val="nil"/>
              <w:bottom w:val="nil"/>
              <w:right w:val="nil"/>
            </w:tcBorders>
            <w:shd w:val="clear" w:color="auto" w:fill="auto"/>
            <w:vAlign w:val="center"/>
          </w:tcPr>
          <w:p>
            <w:pPr>
              <w:jc w:val="center"/>
              <w:rPr>
                <w:rFonts w:ascii="宋体" w:hAnsi="宋体"/>
                <w:color w:val="000000"/>
                <w:sz w:val="16"/>
                <w:szCs w:val="16"/>
              </w:rPr>
            </w:pP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质量指标</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发出血液进行核酸检测完成率</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&gt;=85%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20</w:t>
            </w:r>
          </w:p>
        </w:tc>
      </w:tr>
      <w:tr>
        <w:tblPrEx>
          <w:tblCellMar>
            <w:top w:w="0" w:type="dxa"/>
            <w:left w:w="108" w:type="dxa"/>
            <w:bottom w:w="0" w:type="dxa"/>
            <w:right w:w="108" w:type="dxa"/>
          </w:tblCellMar>
        </w:tblPrEx>
        <w:trPr>
          <w:trHeight w:val="13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91" w:type="dxa"/>
            <w:vMerge w:val="continue"/>
            <w:tcBorders>
              <w:top w:val="single" w:color="000000" w:sz="4" w:space="0"/>
              <w:left w:val="nil"/>
              <w:bottom w:val="nil"/>
              <w:right w:val="nil"/>
            </w:tcBorders>
            <w:shd w:val="clear" w:color="auto" w:fill="auto"/>
            <w:vAlign w:val="center"/>
          </w:tcPr>
          <w:p>
            <w:pPr>
              <w:jc w:val="center"/>
              <w:rPr>
                <w:rFonts w:ascii="宋体" w:hAnsi="宋体"/>
                <w:color w:val="000000"/>
                <w:sz w:val="16"/>
                <w:szCs w:val="16"/>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实验室间质量评价通过率</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&gt;=85%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13</w:t>
            </w: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绩效指标（30）</w:t>
            </w:r>
          </w:p>
        </w:tc>
        <w:tc>
          <w:tcPr>
            <w:tcW w:w="913" w:type="dxa"/>
            <w:tcBorders>
              <w:top w:val="nil"/>
              <w:left w:val="nil"/>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社会效益指标</w:t>
            </w:r>
          </w:p>
        </w:tc>
        <w:tc>
          <w:tcPr>
            <w:tcW w:w="228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用血机构对献血服务满意率</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&gt;=70%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98.08%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30</w:t>
            </w:r>
          </w:p>
        </w:tc>
      </w:tr>
      <w:tr>
        <w:tblPrEx>
          <w:tblCellMar>
            <w:top w:w="0" w:type="dxa"/>
            <w:left w:w="108" w:type="dxa"/>
            <w:bottom w:w="0" w:type="dxa"/>
            <w:right w:w="108" w:type="dxa"/>
          </w:tblCellMar>
        </w:tblPrEx>
        <w:trPr>
          <w:trHeight w:val="26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满意度指标（10）</w:t>
            </w:r>
          </w:p>
        </w:tc>
        <w:tc>
          <w:tcPr>
            <w:tcW w:w="91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满意度指标</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献血者对献血服务满意率</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99.35%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76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1191"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预算执行率（10）</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预算执行率</w:t>
            </w:r>
          </w:p>
        </w:tc>
        <w:tc>
          <w:tcPr>
            <w:tcW w:w="2287"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项目完成且执行数控制在年度预算规模之内，得10分；项目尚未完成，预算执行率小于90%且大于等于80%得7分，小于80%且大于等于60%得5分，小于60%不得分。</w:t>
            </w:r>
          </w:p>
        </w:tc>
        <w:tc>
          <w:tcPr>
            <w:tcW w:w="181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&gt;=90%</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100%</w:t>
            </w:r>
          </w:p>
        </w:tc>
        <w:tc>
          <w:tcPr>
            <w:tcW w:w="41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10</w:t>
            </w:r>
          </w:p>
        </w:tc>
      </w:tr>
      <w:tr>
        <w:tblPrEx>
          <w:tblCellMar>
            <w:top w:w="0" w:type="dxa"/>
            <w:left w:w="108" w:type="dxa"/>
            <w:bottom w:w="0" w:type="dxa"/>
            <w:right w:w="108" w:type="dxa"/>
          </w:tblCellMar>
        </w:tblPrEx>
        <w:trPr>
          <w:trHeight w:val="13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40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总分（共计100分）</w:t>
            </w:r>
          </w:p>
        </w:tc>
        <w:tc>
          <w:tcPr>
            <w:tcW w:w="55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cs="Calibri"/>
                <w:color w:val="000000"/>
                <w:sz w:val="16"/>
                <w:szCs w:val="16"/>
              </w:rPr>
            </w:pPr>
            <w:r>
              <w:rPr>
                <w:rFonts w:cs="Calibri"/>
                <w:color w:val="000000"/>
                <w:kern w:val="0"/>
                <w:sz w:val="16"/>
                <w:szCs w:val="16"/>
                <w:lang w:bidi="ar"/>
              </w:rPr>
              <w:t>98</w:t>
            </w:r>
          </w:p>
        </w:tc>
      </w:tr>
      <w:tr>
        <w:tblPrEx>
          <w:tblCellMar>
            <w:top w:w="0" w:type="dxa"/>
            <w:left w:w="108" w:type="dxa"/>
            <w:bottom w:w="0" w:type="dxa"/>
            <w:right w:w="108" w:type="dxa"/>
          </w:tblCellMar>
        </w:tblPrEx>
        <w:trPr>
          <w:trHeight w:val="13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6"/>
                <w:szCs w:val="16"/>
              </w:rPr>
            </w:pPr>
          </w:p>
        </w:tc>
        <w:tc>
          <w:tcPr>
            <w:tcW w:w="740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6"/>
                <w:szCs w:val="16"/>
              </w:rPr>
            </w:pPr>
            <w:r>
              <w:rPr>
                <w:rFonts w:hint="eastAsia" w:ascii="宋体" w:hAnsi="宋体"/>
                <w:color w:val="000000"/>
                <w:kern w:val="0"/>
                <w:sz w:val="16"/>
                <w:szCs w:val="16"/>
                <w:lang w:bidi="ar"/>
              </w:rPr>
              <w:t>评价等级（优：90（含）-100分；良：80（含）-90分；中60（含）-80分；差：60分以下）</w:t>
            </w:r>
          </w:p>
        </w:tc>
        <w:tc>
          <w:tcPr>
            <w:tcW w:w="55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优</w:t>
            </w:r>
          </w:p>
        </w:tc>
      </w:tr>
      <w:tr>
        <w:tblPrEx>
          <w:tblCellMar>
            <w:top w:w="0" w:type="dxa"/>
            <w:left w:w="108" w:type="dxa"/>
            <w:bottom w:w="0" w:type="dxa"/>
            <w:right w:w="108" w:type="dxa"/>
          </w:tblCellMar>
        </w:tblPrEx>
        <w:trPr>
          <w:trHeight w:val="785" w:hRule="atLeast"/>
        </w:trPr>
        <w:tc>
          <w:tcPr>
            <w:tcW w:w="819"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五、</w:t>
            </w:r>
            <w:r>
              <w:rPr>
                <w:rStyle w:val="13"/>
                <w:lang w:bidi="ar"/>
              </w:rPr>
              <w:t xml:space="preserve"> </w:t>
            </w:r>
            <w:r>
              <w:rPr>
                <w:rFonts w:hint="eastAsia" w:ascii="宋体" w:hAnsi="宋体"/>
                <w:color w:val="000000"/>
                <w:kern w:val="0"/>
                <w:sz w:val="16"/>
                <w:szCs w:val="16"/>
                <w:lang w:bidi="ar"/>
              </w:rPr>
              <w:t>存在问题、原因及下一步整改措施</w:t>
            </w:r>
          </w:p>
        </w:tc>
        <w:tc>
          <w:tcPr>
            <w:tcW w:w="7960"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16"/>
                <w:szCs w:val="16"/>
              </w:rPr>
            </w:pPr>
            <w:r>
              <w:rPr>
                <w:rFonts w:hint="eastAsia" w:ascii="宋体" w:hAnsi="宋体"/>
                <w:color w:val="000000"/>
                <w:kern w:val="0"/>
                <w:sz w:val="16"/>
                <w:szCs w:val="16"/>
                <w:lang w:bidi="ar"/>
              </w:rPr>
              <w:t>个别指标因政策变化未完成，下一步将加强政策预见性，以保证完成量化指标。</w:t>
            </w:r>
          </w:p>
        </w:tc>
      </w:tr>
    </w:tbl>
    <w:p>
      <w:pPr>
        <w:adjustRightInd w:val="0"/>
        <w:snapToGrid w:val="0"/>
        <w:spacing w:line="580" w:lineRule="exact"/>
        <w:ind w:left="420" w:leftChars="200" w:firstLine="321" w:firstLineChars="100"/>
        <w:rPr>
          <w:rFonts w:ascii="仿宋_GB2312" w:hAnsi="仿宋_GB2312" w:eastAsia="仿宋" w:cs="仿宋_GB2312"/>
          <w:sz w:val="32"/>
          <w:szCs w:val="32"/>
        </w:rPr>
      </w:pPr>
      <w:r>
        <w:rPr>
          <w:rFonts w:hint="eastAsia" w:ascii="仿宋_GB2312" w:hAnsi="仿宋_GB2312" w:eastAsia="仿宋" w:cs="仿宋_GB2312"/>
          <w:b/>
          <w:bCs/>
          <w:sz w:val="32"/>
          <w:szCs w:val="32"/>
        </w:rPr>
        <w:t>（三）部门评价项目绩效评价结果</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无</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1190.77</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政府采购货物支出969.47万元、政府采购工程支出0.00万元、政府采购服务支出221.30万元。授予中小企业合同金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1134.52万元，占政府采购支出总额的95.3</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其中授予小微企业合同金额66.78万元，占政府采购支出总额的5.6%。</w:t>
      </w:r>
    </w:p>
    <w:p>
      <w:pPr>
        <w:snapToGrid w:val="0"/>
        <w:spacing w:line="580" w:lineRule="exact"/>
        <w:ind w:firstLine="640" w:firstLineChars="200"/>
        <w:jc w:val="left"/>
        <w:rPr>
          <w:rFonts w:ascii="仿宋_GB2312" w:hAnsi="Times New Roman" w:eastAsia="仿宋" w:cs="DengXian-Regular"/>
          <w:sz w:val="32"/>
          <w:szCs w:val="32"/>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8</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减少2</w:t>
      </w:r>
      <w:r>
        <w:rPr>
          <w:rFonts w:hint="eastAsia" w:ascii="仿宋_GB2312" w:hAnsi="Times New Roman" w:eastAsia="仿宋" w:cs="DengXian-Regular"/>
          <w:sz w:val="32"/>
          <w:szCs w:val="32"/>
        </w:rPr>
        <w:t>辆，主要是报废2台车辆。</w:t>
      </w:r>
      <w:r>
        <w:rPr>
          <w:rFonts w:ascii="仿宋_GB2312" w:hAnsi="仿宋_GB2312" w:eastAsia="仿宋_GB2312" w:cs="仿宋_GB2312"/>
          <w:sz w:val="32"/>
          <w:szCs w:val="32"/>
        </w:rPr>
        <w:t>其中，其他用车</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辆，其他用车主要是</w:t>
      </w:r>
      <w:r>
        <w:rPr>
          <w:rFonts w:hint="eastAsia" w:ascii="仿宋_GB2312" w:hAnsi="仿宋_GB2312" w:eastAsia="仿宋_GB2312" w:cs="仿宋_GB2312"/>
          <w:sz w:val="32"/>
          <w:szCs w:val="32"/>
        </w:rPr>
        <w:t>采血车及取送血业务用车</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1</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6</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增加1</w:t>
      </w:r>
      <w:r>
        <w:rPr>
          <w:rFonts w:hint="eastAsia" w:ascii="仿宋_GB2312" w:hAnsi="Times New Roman" w:eastAsia="仿宋" w:cs="DengXian-Regular"/>
          <w:sz w:val="32"/>
          <w:szCs w:val="32"/>
        </w:rPr>
        <w:t>套，主要是购入全自动酶标仪一台。</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rPr>
        <w:t>单位</w:t>
      </w:r>
      <w:r>
        <w:rPr>
          <w:rFonts w:ascii="仿宋_GB2312" w:hAnsi="Times New Roman" w:eastAsia="仿宋" w:cs="DengXian-Regular"/>
          <w:sz w:val="32"/>
          <w:szCs w:val="32"/>
        </w:rPr>
        <w:t>2021年度政府性基金预算财政拨款无收支及结转结余情况, 故公开08表以空表列示;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rPr>
          <w:rFonts w:hint="eastAsia" w:ascii="仿宋_GB2312" w:hAnsi="宋体" w:eastAsia="仿宋" w:cs="ArialUnicodeMS"/>
          <w:sz w:val="32"/>
          <w:szCs w:val="32"/>
        </w:rPr>
      </w:pPr>
    </w:p>
    <w:p>
      <w:pPr>
        <w:widowControl/>
        <w:jc w:val="left"/>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4384" behindDoc="0" locked="0" layoutInCell="1" allowOverlap="1">
            <wp:simplePos x="0" y="0"/>
            <wp:positionH relativeFrom="column">
              <wp:posOffset>447040</wp:posOffset>
            </wp:positionH>
            <wp:positionV relativeFrom="margin">
              <wp:posOffset>2820670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80" cy="64008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31 -</w:t>
        </w:r>
        <w:r>
          <w:rPr>
            <w:rFonts w:ascii="Batang" w:hAnsi="Batang" w:eastAsia="Batang"/>
            <w:sz w:val="21"/>
            <w:szCs w:val="21"/>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MTQsImhkaWQiOiI0MDExNTlmMzc0OTllZmM2NTVkNTBhN2NmOGU0NzYxZSIsInVzZXJDb3VudCI6MTR9"/>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45312"/>
    <w:rsid w:val="003512E0"/>
    <w:rsid w:val="0035699F"/>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5F2"/>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0D25"/>
    <w:rsid w:val="008B150B"/>
    <w:rsid w:val="008B2C24"/>
    <w:rsid w:val="008D4A9C"/>
    <w:rsid w:val="008E2E36"/>
    <w:rsid w:val="00914B84"/>
    <w:rsid w:val="009151A5"/>
    <w:rsid w:val="00917342"/>
    <w:rsid w:val="00932DD0"/>
    <w:rsid w:val="0095463C"/>
    <w:rsid w:val="009603D3"/>
    <w:rsid w:val="00962748"/>
    <w:rsid w:val="0096601A"/>
    <w:rsid w:val="00977DF8"/>
    <w:rsid w:val="00981632"/>
    <w:rsid w:val="009C6CBF"/>
    <w:rsid w:val="009E4245"/>
    <w:rsid w:val="00A31AAA"/>
    <w:rsid w:val="00A34545"/>
    <w:rsid w:val="00A379B7"/>
    <w:rsid w:val="00A56ACB"/>
    <w:rsid w:val="00A5734C"/>
    <w:rsid w:val="00B3128E"/>
    <w:rsid w:val="00B3503C"/>
    <w:rsid w:val="00B42AD3"/>
    <w:rsid w:val="00B507E6"/>
    <w:rsid w:val="00B936AD"/>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07D21D7A"/>
    <w:rsid w:val="0B6D4294"/>
    <w:rsid w:val="15237771"/>
    <w:rsid w:val="17944F94"/>
    <w:rsid w:val="19A7729B"/>
    <w:rsid w:val="22BE4F7D"/>
    <w:rsid w:val="35E91A43"/>
    <w:rsid w:val="3EAB0654"/>
    <w:rsid w:val="438C2802"/>
    <w:rsid w:val="44F83DE3"/>
    <w:rsid w:val="4729480B"/>
    <w:rsid w:val="47E55F1D"/>
    <w:rsid w:val="4E616114"/>
    <w:rsid w:val="5BFE5664"/>
    <w:rsid w:val="62330EBD"/>
    <w:rsid w:val="64855680"/>
    <w:rsid w:val="71722AFD"/>
    <w:rsid w:val="795B7FA5"/>
    <w:rsid w:val="7A1C0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qFormat/>
    <w:uiPriority w:val="99"/>
    <w:rPr>
      <w:kern w:val="2"/>
      <w:sz w:val="18"/>
      <w:szCs w:val="18"/>
    </w:rPr>
  </w:style>
  <w:style w:type="character" w:customStyle="1" w:styleId="9">
    <w:name w:val="font61"/>
    <w:basedOn w:val="7"/>
    <w:qFormat/>
    <w:uiPriority w:val="0"/>
    <w:rPr>
      <w:rFonts w:hint="eastAsia" w:ascii="宋体" w:hAnsi="宋体" w:eastAsia="宋体" w:cs="宋体"/>
      <w:color w:val="000000"/>
      <w:sz w:val="16"/>
      <w:szCs w:val="16"/>
      <w:u w:val="none"/>
    </w:rPr>
  </w:style>
  <w:style w:type="character" w:customStyle="1" w:styleId="10">
    <w:name w:val="font11"/>
    <w:basedOn w:val="7"/>
    <w:uiPriority w:val="0"/>
    <w:rPr>
      <w:rFonts w:ascii="Calibri" w:hAnsi="Calibri" w:cs="Calibri"/>
      <w:color w:val="000000"/>
      <w:sz w:val="16"/>
      <w:szCs w:val="16"/>
      <w:u w:val="none"/>
    </w:rPr>
  </w:style>
  <w:style w:type="character" w:customStyle="1" w:styleId="11">
    <w:name w:val="font21"/>
    <w:basedOn w:val="7"/>
    <w:uiPriority w:val="0"/>
    <w:rPr>
      <w:rFonts w:hint="default" w:ascii="Calibri" w:hAnsi="Calibri" w:cs="Calibri"/>
      <w:color w:val="000000"/>
      <w:sz w:val="16"/>
      <w:szCs w:val="16"/>
      <w:u w:val="none"/>
    </w:rPr>
  </w:style>
  <w:style w:type="character" w:customStyle="1" w:styleId="12">
    <w:name w:val="font51"/>
    <w:basedOn w:val="7"/>
    <w:uiPriority w:val="0"/>
    <w:rPr>
      <w:rFonts w:ascii="Calibri" w:hAnsi="Calibri" w:cs="Calibri"/>
      <w:color w:val="000000"/>
      <w:sz w:val="16"/>
      <w:szCs w:val="16"/>
      <w:u w:val="none"/>
    </w:rPr>
  </w:style>
  <w:style w:type="character" w:customStyle="1" w:styleId="13">
    <w:name w:val="font41"/>
    <w:basedOn w:val="7"/>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jpeg"/><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1667</Words>
  <Characters>9504</Characters>
  <Lines>79</Lines>
  <Paragraphs>22</Paragraphs>
  <TotalTime>2</TotalTime>
  <ScaleCrop>false</ScaleCrop>
  <LinksUpToDate>false</LinksUpToDate>
  <CharactersWithSpaces>11149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2022-09-22T15:29:00Z</dcterms:created>
  <dc:creator>王明新TIAD</dc:creator>
  <cp:lastModifiedBy>Administrator</cp:lastModifiedBy>
  <dcterms:modified xsi:type="dcterms:W3CDTF">2023-08-01T03:25:03Z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TemplateUUID">
    <vt:lpwstr>v1.0_mb_S7ajbG3IpAnL1wSthNCxfw==</vt:lpwstr>
  </property>
  <property fmtid="{D5CDD505-2E9C-101B-9397-08002B2CF9AE}" pid="4" name="ICV">
    <vt:lpwstr>1515CEFC20754C3380B382230295B456</vt:lpwstr>
  </property>
</Properties>
</file>