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83" w:rsidRPr="00B936AD" w:rsidRDefault="002D03AB" w:rsidP="00B936AD">
      <w:pPr>
        <w:widowControl/>
        <w:jc w:val="left"/>
        <w:sectPr w:rsidR="00F73F83" w:rsidRPr="00B936AD">
          <w:headerReference w:type="even" r:id="rId8"/>
          <w:headerReference w:type="default" r:id="rId9"/>
          <w:footerReference w:type="even" r:id="rId10"/>
          <w:footerReference w:type="default" r:id="rId11"/>
          <w:headerReference w:type="first" r:id="rId12"/>
          <w:footerReference w:type="first" r:id="rId13"/>
          <w:pgSz w:w="11906" w:h="16838"/>
          <w:pgMar w:top="2041" w:right="1531" w:bottom="2041" w:left="1531" w:header="851" w:footer="992" w:gutter="0"/>
          <w:cols w:space="0"/>
          <w:titlePg/>
          <w:docGrid w:type="lines" w:linePitch="312"/>
        </w:sectPr>
      </w:pPr>
      <w:r>
        <w:rPr>
          <w:noProof/>
        </w:rPr>
        <w:drawing>
          <wp:anchor distT="0" distB="0" distL="0" distR="0" simplePos="0" relativeHeight="25165465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14" cstate="print"/>
                    <a:srcRect/>
                    <a:stretch/>
                  </pic:blipFill>
                  <pic:spPr>
                    <a:xfrm rot="16200000">
                      <a:off x="0" y="0"/>
                      <a:ext cx="11083290" cy="10896600"/>
                    </a:xfrm>
                    <a:prstGeom prst="rect">
                      <a:avLst/>
                    </a:prstGeom>
                  </pic:spPr>
                </pic:pic>
              </a:graphicData>
            </a:graphic>
          </wp:anchor>
        </w:drawing>
      </w:r>
      <w:r w:rsidR="006137BB">
        <w:rPr>
          <w:noProof/>
        </w:rPr>
        <w:pict>
          <v:rect id="文本框 2" o:spid="_x0000_s1026" style="position:absolute;margin-left:23pt;margin-top:504.65pt;width:431.7pt;height:98.9pt;z-index:251660800;visibility:visible;mso-wrap-distance-left:0;mso-wrap-distance-right:0;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filled="f" stroked="f">
            <v:textbox>
              <w:txbxContent>
                <w:p w:rsidR="005C23CE" w:rsidRPr="002D03AB" w:rsidRDefault="005C23CE">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Pr>
                      <w:rFonts w:ascii="黑体" w:eastAsia="黑体" w:hAnsi="黑体" w:cs="黑体"/>
                      <w:color w:val="000000"/>
                      <w:sz w:val="40"/>
                      <w:szCs w:val="40"/>
                    </w:rPr>
                    <w:t>361006</w:t>
                  </w:r>
                </w:p>
                <w:p w:rsidR="005C23CE" w:rsidRPr="0096601A" w:rsidRDefault="005C23CE">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r w:rsidRPr="0096601A">
                    <w:rPr>
                      <w:rFonts w:ascii="黑体" w:eastAsia="黑体" w:hAnsi="黑体" w:cs="黑体" w:hint="eastAsia"/>
                      <w:color w:val="000000"/>
                      <w:sz w:val="40"/>
                      <w:szCs w:val="40"/>
                    </w:rPr>
                    <w:t>：</w:t>
                  </w:r>
                  <w:r>
                    <w:rPr>
                      <w:rFonts w:ascii="黑体" w:eastAsia="黑体" w:hAnsi="黑体" w:cs="黑体" w:hint="eastAsia"/>
                      <w:color w:val="000000"/>
                      <w:sz w:val="40"/>
                      <w:szCs w:val="40"/>
                    </w:rPr>
                    <w:t>秦皇岛市中医医院</w:t>
                  </w:r>
                </w:p>
              </w:txbxContent>
            </v:textbox>
          </v:rect>
        </w:pict>
      </w:r>
      <w:r w:rsidR="00B936AD">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5" cstate="print"/>
                    <a:srcRect/>
                    <a:stretch/>
                  </pic:blipFill>
                  <pic:spPr>
                    <a:xfrm>
                      <a:off x="0" y="0"/>
                      <a:ext cx="610235" cy="610235"/>
                    </a:xfrm>
                    <a:prstGeom prst="rect">
                      <a:avLst/>
                    </a:prstGeom>
                  </pic:spPr>
                </pic:pic>
              </a:graphicData>
            </a:graphic>
          </wp:anchor>
        </w:drawing>
      </w:r>
      <w:r w:rsidR="006137BB">
        <w:rPr>
          <w:noProof/>
        </w:rPr>
        <w:pict>
          <v:rect id="_x0000_s1027" style="position:absolute;margin-left:88.1pt;margin-top:625.45pt;width:256.7pt;height:40.95pt;z-index:2516638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filled="f" stroked="f">
            <v:textbox>
              <w:txbxContent>
                <w:p w:rsidR="005C23CE" w:rsidRDefault="005C23CE">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Pr>
                      <w:rFonts w:ascii="楷体_GB2312" w:eastAsia="楷体_GB2312" w:hAnsi="楷体_GB2312" w:cs="楷体_GB2312"/>
                      <w:color w:val="000000"/>
                      <w:sz w:val="40"/>
                      <w:szCs w:val="40"/>
                    </w:rPr>
                    <w:t>O</w:t>
                  </w:r>
                  <w:r>
                    <w:rPr>
                      <w:rFonts w:ascii="楷体_GB2312" w:eastAsia="楷体_GB2312" w:hAnsi="楷体_GB2312" w:cs="楷体_GB2312" w:hint="eastAsia"/>
                      <w:color w:val="000000"/>
                      <w:sz w:val="40"/>
                      <w:szCs w:val="40"/>
                    </w:rPr>
                    <w:t>二二年九月</w:t>
                  </w:r>
                </w:p>
              </w:txbxContent>
            </v:textbox>
          </v:rect>
        </w:pict>
      </w:r>
      <w:r w:rsidR="006137BB">
        <w:rPr>
          <w:noProof/>
        </w:rPr>
        <w:pict>
          <v:group id="组合 11" o:spid="_x0000_s1028" style="position:absolute;margin-left:-83pt;margin-top:196.75pt;width:613.65pt;height:274.95pt;z-index:251658752;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v:rect id="矩形 1" o:spid="_x0000_s1029" style="position:absolute;left:15245;top:6099;width:2268;height:54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5C23CE" w:rsidRDefault="005C23CE">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6" o:title=""/>
            </v:shape>
          </v:group>
        </w:pict>
      </w:r>
      <w:r w:rsidR="006137BB">
        <w:rPr>
          <w:noProof/>
        </w:rPr>
        <w:pict>
          <v:rect id="文本框 33" o:spid="_x0000_s1031" style="position:absolute;margin-left:-19.95pt;margin-top:126.9pt;width:432.6pt;height:44.9pt;z-index:2516567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filled="f" stroked="f">
            <v:textbox>
              <w:txbxContent>
                <w:p w:rsidR="005C23CE" w:rsidRDefault="005C23CE">
                  <w:pPr>
                    <w:jc w:val="distribute"/>
                    <w:rPr>
                      <w:rFonts w:ascii="思源黑体 CN Heavy" w:eastAsia="思源黑体 CN Heavy" w:hAnsi="思源黑体 CN Heavy"/>
                      <w:color w:val="A6A6A6"/>
                      <w:kern w:val="0"/>
                      <w:sz w:val="40"/>
                      <w:szCs w:val="40"/>
                    </w:rPr>
                  </w:pPr>
                </w:p>
              </w:txbxContent>
            </v:textbox>
          </v:rect>
        </w:pict>
      </w:r>
      <w:r w:rsidR="006137BB">
        <w:rPr>
          <w:noProof/>
        </w:rPr>
        <w:pict>
          <v:group id="组合 6" o:spid="_x0000_s1032" style="position:absolute;margin-left:-22.1pt;margin-top:55.15pt;width:451.7pt;height:68.65pt;z-index:251657728;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5C23CE" w:rsidRDefault="005C23CE">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sidR="006137BB">
        <w:rPr>
          <w:noProof/>
        </w:rPr>
        <w:pict>
          <v:rect id="文本框 32" o:spid="_x0000_s1035" style="position:absolute;margin-left:39.25pt;margin-top:-19.3pt;width:223.1pt;height:62.05pt;z-index:2516556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filled="f" stroked="f">
            <v:textbox>
              <w:txbxContent>
                <w:p w:rsidR="005C23CE" w:rsidRDefault="005C23CE">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rect>
        </w:pict>
      </w:r>
      <w:r w:rsidR="00B936AD">
        <w:br w:type="page"/>
      </w: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7" cstate="print"/>
                    <a:srcRect/>
                    <a:stretch/>
                  </pic:blipFill>
                  <pic:spPr>
                    <a:xfrm>
                      <a:off x="0" y="0"/>
                      <a:ext cx="639445" cy="639445"/>
                    </a:xfrm>
                    <a:prstGeom prst="rect">
                      <a:avLst/>
                    </a:prstGeom>
                  </pic:spPr>
                </pic:pic>
              </a:graphicData>
            </a:graphic>
          </wp:anchor>
        </w:drawing>
      </w:r>
    </w:p>
    <w:p w:rsidR="00F73F83" w:rsidRDefault="00B936A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100D00">
        <w:rPr>
          <w:rFonts w:ascii="Times New Roman" w:eastAsia="黑体" w:hAnsi="Times New Roman" w:cs="Times New Roman" w:hint="eastAsia"/>
          <w:sz w:val="32"/>
          <w:szCs w:val="32"/>
        </w:rPr>
        <w:t>单位</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100D00">
        <w:rPr>
          <w:rFonts w:ascii="Times New Roman" w:eastAsia="仿宋" w:hAnsi="Times New Roman" w:cs="Times New Roman" w:hint="eastAsia"/>
          <w:sz w:val="32"/>
          <w:szCs w:val="32"/>
        </w:rPr>
        <w:t>单位</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五、一般公共预算“三公”经费支出决算情况说明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七、机关运行经费情况</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Pr="00FD4BAC">
        <w:rPr>
          <w:rFonts w:ascii="Times New Roman" w:eastAsia="仿宋" w:hAnsi="Times New Roman" w:cs="Times New Roman" w:hint="eastAsia"/>
          <w:sz w:val="32"/>
          <w:szCs w:val="32"/>
        </w:rPr>
        <w:t>政府采购情况</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九、国有资产占用情况</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F73F83" w:rsidRDefault="00F73F83">
      <w:pPr>
        <w:widowControl/>
        <w:spacing w:after="160" w:line="580" w:lineRule="exact"/>
        <w:ind w:firstLineChars="200" w:firstLine="640"/>
        <w:rPr>
          <w:rFonts w:ascii="Times New Roman" w:eastAsia="黑体" w:hAnsi="Times New Roman" w:cs="Times New Roman"/>
          <w:sz w:val="32"/>
          <w:szCs w:val="32"/>
        </w:rPr>
        <w:sectPr w:rsidR="00F73F83" w:rsidSect="00DB3CEE">
          <w:headerReference w:type="default" r:id="rId18"/>
          <w:footerReference w:type="default" r:id="rId19"/>
          <w:headerReference w:type="first" r:id="rId20"/>
          <w:footerReference w:type="first" r:id="rId21"/>
          <w:pgSz w:w="11906" w:h="16838"/>
          <w:pgMar w:top="1474" w:right="1531" w:bottom="1474" w:left="1531" w:header="851" w:footer="454" w:gutter="0"/>
          <w:pgNumType w:fmt="numberInDash"/>
          <w:cols w:space="0"/>
          <w:docGrid w:type="lines" w:linePitch="312"/>
        </w:sect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51584" behindDoc="0" locked="0" layoutInCell="1" allowOverlap="1">
            <wp:simplePos x="0" y="0"/>
            <wp:positionH relativeFrom="column">
              <wp:posOffset>425450</wp:posOffset>
            </wp:positionH>
            <wp:positionV relativeFrom="margin">
              <wp:posOffset>2590165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22" cstate="print"/>
                    <a:srcRect/>
                    <a:stretch/>
                  </pic:blipFill>
                  <pic:spPr>
                    <a:xfrm>
                      <a:off x="0" y="0"/>
                      <a:ext cx="739775" cy="742950"/>
                    </a:xfrm>
                    <a:prstGeom prst="rect">
                      <a:avLst/>
                    </a:prstGeom>
                  </pic:spPr>
                </pic:pic>
              </a:graphicData>
            </a:graphic>
          </wp:anchor>
        </w:drawing>
      </w: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第一部分  </w:t>
      </w:r>
      <w:r w:rsidR="00100D00">
        <w:rPr>
          <w:rFonts w:ascii="黑体" w:eastAsia="黑体" w:hAnsi="黑体" w:cs="黑体" w:hint="eastAsia"/>
          <w:color w:val="000000"/>
          <w:sz w:val="44"/>
          <w:szCs w:val="44"/>
        </w:rPr>
        <w:t>单位</w:t>
      </w:r>
      <w:r w:rsidRPr="00EA0DAC">
        <w:rPr>
          <w:rFonts w:ascii="黑体" w:eastAsia="黑体" w:hAnsi="黑体" w:cs="黑体" w:hint="eastAsia"/>
          <w:color w:val="000000"/>
          <w:sz w:val="44"/>
          <w:szCs w:val="44"/>
        </w:rPr>
        <w:t>概</w:t>
      </w:r>
      <w:r>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100D00">
        <w:rPr>
          <w:rFonts w:ascii="黑体" w:eastAsia="黑体" w:cs="黑体" w:hint="eastAsia"/>
          <w:b w:val="0"/>
          <w:bCs w:val="0"/>
          <w:kern w:val="0"/>
          <w:sz w:val="32"/>
          <w:szCs w:val="32"/>
        </w:rPr>
        <w:t>单位</w:t>
      </w:r>
      <w:r w:rsidRPr="00EA0DAC">
        <w:rPr>
          <w:rFonts w:ascii="黑体" w:eastAsia="黑体" w:cs="黑体" w:hint="eastAsia"/>
          <w:b w:val="0"/>
          <w:bCs w:val="0"/>
          <w:kern w:val="0"/>
          <w:sz w:val="32"/>
          <w:szCs w:val="32"/>
        </w:rPr>
        <w:t>职责</w:t>
      </w:r>
    </w:p>
    <w:p w:rsidR="009B6AF3" w:rsidRPr="009B6AF3" w:rsidRDefault="009B6AF3" w:rsidP="009B6AF3">
      <w:pPr>
        <w:shd w:val="clear" w:color="auto" w:fill="FFFFFF"/>
        <w:spacing w:before="240" w:after="240"/>
        <w:ind w:firstLineChars="200" w:firstLine="640"/>
        <w:rPr>
          <w:rFonts w:ascii="仿宋_GB2312" w:eastAsia="仿宋" w:cs="ArialUnicodeMS"/>
          <w:kern w:val="0"/>
          <w:sz w:val="32"/>
          <w:szCs w:val="32"/>
        </w:rPr>
      </w:pPr>
      <w:r w:rsidRPr="009B6AF3">
        <w:rPr>
          <w:rFonts w:ascii="仿宋_GB2312" w:eastAsia="仿宋" w:cs="ArialUnicodeMS" w:hint="eastAsia"/>
          <w:kern w:val="0"/>
          <w:sz w:val="32"/>
          <w:szCs w:val="32"/>
        </w:rPr>
        <w:t>秦皇岛市中医医院始建于</w:t>
      </w:r>
      <w:r w:rsidRPr="009B6AF3">
        <w:rPr>
          <w:rFonts w:ascii="仿宋_GB2312" w:eastAsia="仿宋" w:cs="ArialUnicodeMS" w:hint="eastAsia"/>
          <w:kern w:val="0"/>
          <w:sz w:val="32"/>
          <w:szCs w:val="32"/>
        </w:rPr>
        <w:t>1958</w:t>
      </w:r>
      <w:r w:rsidRPr="009B6AF3">
        <w:rPr>
          <w:rFonts w:ascii="仿宋_GB2312" w:eastAsia="仿宋" w:cs="ArialUnicodeMS" w:hint="eastAsia"/>
          <w:kern w:val="0"/>
          <w:sz w:val="32"/>
          <w:szCs w:val="32"/>
        </w:rPr>
        <w:t>年，是秦皇岛地区集医疗、教学、科研、预防、保健、急救为一体的具有鲜明中医特色、学科优势突出、技术设备先进、人才梯队合理的三甲综合性中医医院。医院一直坚持“中医立院、人才强院、特色兴院”的办院理念，走差异化发展道路。拥有针灸、拔罐、推拿、按摩、刮痧、耳穴埋豆等中医传统疗法</w:t>
      </w:r>
      <w:r w:rsidRPr="009B6AF3">
        <w:rPr>
          <w:rFonts w:ascii="仿宋_GB2312" w:eastAsia="仿宋" w:cs="ArialUnicodeMS" w:hint="eastAsia"/>
          <w:kern w:val="0"/>
          <w:sz w:val="32"/>
          <w:szCs w:val="32"/>
        </w:rPr>
        <w:t>124</w:t>
      </w:r>
      <w:r w:rsidRPr="009B6AF3">
        <w:rPr>
          <w:rFonts w:ascii="仿宋_GB2312" w:eastAsia="仿宋" w:cs="ArialUnicodeMS" w:hint="eastAsia"/>
          <w:kern w:val="0"/>
          <w:sz w:val="32"/>
          <w:szCs w:val="32"/>
        </w:rPr>
        <w:t>种，因其疗效显著，被广泛应用于临床。显著的中医特色优势也使医院有幸多次在国家相关会议中做中医技术经验介绍及推广。其中用于预防冬季呼吸系统疾病的“冬病夏治”贴伏疗法，年平均服务</w:t>
      </w:r>
      <w:r w:rsidRPr="009B6AF3">
        <w:rPr>
          <w:rFonts w:ascii="仿宋_GB2312" w:eastAsia="仿宋" w:cs="ArialUnicodeMS" w:hint="eastAsia"/>
          <w:kern w:val="0"/>
          <w:sz w:val="32"/>
          <w:szCs w:val="32"/>
        </w:rPr>
        <w:t>3</w:t>
      </w:r>
      <w:r w:rsidRPr="009B6AF3">
        <w:rPr>
          <w:rFonts w:ascii="仿宋_GB2312" w:eastAsia="仿宋" w:cs="ArialUnicodeMS" w:hint="eastAsia"/>
          <w:kern w:val="0"/>
          <w:sz w:val="32"/>
          <w:szCs w:val="32"/>
        </w:rPr>
        <w:t>万余人，荣获国家专利</w:t>
      </w:r>
      <w:r w:rsidRPr="009B6AF3">
        <w:rPr>
          <w:rFonts w:ascii="仿宋_GB2312" w:eastAsia="仿宋" w:cs="ArialUnicodeMS" w:hint="eastAsia"/>
          <w:kern w:val="0"/>
          <w:sz w:val="32"/>
          <w:szCs w:val="32"/>
        </w:rPr>
        <w:t>,</w:t>
      </w:r>
      <w:r w:rsidRPr="009B6AF3">
        <w:rPr>
          <w:rFonts w:ascii="仿宋_GB2312" w:eastAsia="仿宋" w:cs="ArialUnicodeMS" w:hint="eastAsia"/>
          <w:kern w:val="0"/>
          <w:sz w:val="32"/>
          <w:szCs w:val="32"/>
        </w:rPr>
        <w:t>在当地及周边打造出了中医精品服务品牌。同时，医院按照传统工艺，开展的膏方服务，集营养滋补、治疗、预防保健作用为一体，一人一方，被广泛应用于亚健康、慢性病、老年人、儿童等人群。</w:t>
      </w:r>
    </w:p>
    <w:p w:rsidR="009B6AF3" w:rsidRPr="009B6AF3" w:rsidRDefault="009B6AF3" w:rsidP="009B6AF3">
      <w:pPr>
        <w:shd w:val="clear" w:color="auto" w:fill="FFFFFF"/>
        <w:spacing w:before="240" w:after="240"/>
        <w:ind w:firstLineChars="200" w:firstLine="640"/>
        <w:rPr>
          <w:rFonts w:ascii="仿宋_GB2312" w:eastAsia="仿宋" w:cs="ArialUnicodeMS"/>
          <w:kern w:val="0"/>
          <w:sz w:val="32"/>
          <w:szCs w:val="32"/>
        </w:rPr>
      </w:pPr>
      <w:r w:rsidRPr="009B6AF3">
        <w:rPr>
          <w:rFonts w:ascii="仿宋_GB2312" w:eastAsia="仿宋" w:cs="ArialUnicodeMS" w:hint="eastAsia"/>
          <w:kern w:val="0"/>
          <w:sz w:val="32"/>
          <w:szCs w:val="32"/>
        </w:rPr>
        <w:t>医院设有临床病区</w:t>
      </w:r>
      <w:r w:rsidRPr="009B6AF3">
        <w:rPr>
          <w:rFonts w:ascii="仿宋_GB2312" w:eastAsia="仿宋" w:cs="ArialUnicodeMS" w:hint="eastAsia"/>
          <w:kern w:val="0"/>
          <w:sz w:val="32"/>
          <w:szCs w:val="32"/>
        </w:rPr>
        <w:t>22</w:t>
      </w:r>
      <w:r w:rsidRPr="009B6AF3">
        <w:rPr>
          <w:rFonts w:ascii="仿宋_GB2312" w:eastAsia="仿宋" w:cs="ArialUnicodeMS" w:hint="eastAsia"/>
          <w:kern w:val="0"/>
          <w:sz w:val="32"/>
          <w:szCs w:val="32"/>
        </w:rPr>
        <w:t>个，医技科室</w:t>
      </w:r>
      <w:r w:rsidRPr="009B6AF3">
        <w:rPr>
          <w:rFonts w:ascii="仿宋_GB2312" w:eastAsia="仿宋" w:cs="ArialUnicodeMS" w:hint="eastAsia"/>
          <w:kern w:val="0"/>
          <w:sz w:val="32"/>
          <w:szCs w:val="32"/>
        </w:rPr>
        <w:t>8</w:t>
      </w:r>
      <w:r w:rsidRPr="009B6AF3">
        <w:rPr>
          <w:rFonts w:ascii="仿宋_GB2312" w:eastAsia="仿宋" w:cs="ArialUnicodeMS" w:hint="eastAsia"/>
          <w:kern w:val="0"/>
          <w:sz w:val="32"/>
          <w:szCs w:val="32"/>
        </w:rPr>
        <w:t>个，专科门诊</w:t>
      </w:r>
      <w:r w:rsidRPr="009B6AF3">
        <w:rPr>
          <w:rFonts w:ascii="仿宋_GB2312" w:eastAsia="仿宋" w:cs="ArialUnicodeMS" w:hint="eastAsia"/>
          <w:kern w:val="0"/>
          <w:sz w:val="32"/>
          <w:szCs w:val="32"/>
        </w:rPr>
        <w:t>55</w:t>
      </w:r>
      <w:r w:rsidRPr="009B6AF3">
        <w:rPr>
          <w:rFonts w:ascii="仿宋_GB2312" w:eastAsia="仿宋" w:cs="ArialUnicodeMS" w:hint="eastAsia"/>
          <w:kern w:val="0"/>
          <w:sz w:val="32"/>
          <w:szCs w:val="32"/>
        </w:rPr>
        <w:t>个，特色专病门诊</w:t>
      </w:r>
      <w:r w:rsidRPr="009B6AF3">
        <w:rPr>
          <w:rFonts w:ascii="仿宋_GB2312" w:eastAsia="仿宋" w:cs="ArialUnicodeMS" w:hint="eastAsia"/>
          <w:kern w:val="0"/>
          <w:sz w:val="32"/>
          <w:szCs w:val="32"/>
        </w:rPr>
        <w:t>40</w:t>
      </w:r>
      <w:r w:rsidRPr="009B6AF3">
        <w:rPr>
          <w:rFonts w:ascii="仿宋_GB2312" w:eastAsia="仿宋" w:cs="ArialUnicodeMS" w:hint="eastAsia"/>
          <w:kern w:val="0"/>
          <w:sz w:val="32"/>
          <w:szCs w:val="32"/>
        </w:rPr>
        <w:t>个。拥有国家卫健委、国家中医药管理局、省卫健委、市卫健委</w:t>
      </w:r>
      <w:r w:rsidRPr="009B6AF3">
        <w:rPr>
          <w:rFonts w:ascii="仿宋_GB2312" w:eastAsia="仿宋" w:cs="ArialUnicodeMS" w:hint="eastAsia"/>
          <w:kern w:val="0"/>
          <w:sz w:val="32"/>
          <w:szCs w:val="32"/>
        </w:rPr>
        <w:t>4</w:t>
      </w:r>
      <w:r w:rsidRPr="009B6AF3">
        <w:rPr>
          <w:rFonts w:ascii="仿宋_GB2312" w:eastAsia="仿宋" w:cs="ArialUnicodeMS" w:hint="eastAsia"/>
          <w:kern w:val="0"/>
          <w:sz w:val="32"/>
          <w:szCs w:val="32"/>
        </w:rPr>
        <w:t>个层级</w:t>
      </w:r>
      <w:r w:rsidRPr="009B6AF3">
        <w:rPr>
          <w:rFonts w:ascii="仿宋_GB2312" w:eastAsia="仿宋" w:cs="ArialUnicodeMS" w:hint="eastAsia"/>
          <w:kern w:val="0"/>
          <w:sz w:val="32"/>
          <w:szCs w:val="32"/>
        </w:rPr>
        <w:t>17</w:t>
      </w:r>
      <w:r w:rsidRPr="009B6AF3">
        <w:rPr>
          <w:rFonts w:ascii="仿宋_GB2312" w:eastAsia="仿宋" w:cs="ArialUnicodeMS" w:hint="eastAsia"/>
          <w:kern w:val="0"/>
          <w:sz w:val="32"/>
          <w:szCs w:val="32"/>
        </w:rPr>
        <w:t>个，其中内分泌科为国家临床重点专科，肿瘤科、治未病中心为国家中医药管理局重点专科，脑病科、皮肤科、肛肠科为省级重点中医专科，心血管病科、急诊科（含重症医学科）、护理、中药学为省中医重点建设单位，脑</w:t>
      </w:r>
      <w:r w:rsidRPr="009B6AF3">
        <w:rPr>
          <w:rFonts w:ascii="仿宋_GB2312" w:eastAsia="仿宋" w:cs="ArialUnicodeMS" w:hint="eastAsia"/>
          <w:kern w:val="0"/>
          <w:sz w:val="32"/>
          <w:szCs w:val="32"/>
        </w:rPr>
        <w:lastRenderedPageBreak/>
        <w:t>病康复科、脾胃科、检验科、肺病科、重症医学科、心血管科等为市级医学重点学科、重点发展学科。</w:t>
      </w:r>
    </w:p>
    <w:p w:rsidR="009B6AF3" w:rsidRPr="009B6AF3" w:rsidRDefault="009B6AF3" w:rsidP="009B6AF3">
      <w:pPr>
        <w:shd w:val="clear" w:color="auto" w:fill="FFFFFF"/>
        <w:spacing w:before="240" w:after="240"/>
        <w:ind w:firstLineChars="200" w:firstLine="640"/>
        <w:rPr>
          <w:rFonts w:ascii="仿宋_GB2312" w:eastAsia="仿宋" w:cs="ArialUnicodeMS"/>
          <w:kern w:val="0"/>
          <w:sz w:val="32"/>
          <w:szCs w:val="32"/>
        </w:rPr>
      </w:pPr>
      <w:r w:rsidRPr="009B6AF3">
        <w:rPr>
          <w:rFonts w:ascii="仿宋_GB2312" w:eastAsia="仿宋" w:cs="ArialUnicodeMS" w:hint="eastAsia"/>
          <w:kern w:val="0"/>
          <w:sz w:val="32"/>
          <w:szCs w:val="32"/>
        </w:rPr>
        <w:t>医院医疗设施先进，大型设备齐全，拥有美国</w:t>
      </w:r>
      <w:r w:rsidRPr="009B6AF3">
        <w:rPr>
          <w:rFonts w:ascii="仿宋_GB2312" w:eastAsia="仿宋" w:cs="ArialUnicodeMS" w:hint="eastAsia"/>
          <w:kern w:val="0"/>
          <w:sz w:val="32"/>
          <w:szCs w:val="32"/>
        </w:rPr>
        <w:t>GE3.0T</w:t>
      </w:r>
      <w:r w:rsidRPr="009B6AF3">
        <w:rPr>
          <w:rFonts w:ascii="仿宋_GB2312" w:eastAsia="仿宋" w:cs="ArialUnicodeMS" w:hint="eastAsia"/>
          <w:kern w:val="0"/>
          <w:sz w:val="32"/>
          <w:szCs w:val="32"/>
        </w:rPr>
        <w:t>磁共振、</w:t>
      </w:r>
      <w:r w:rsidRPr="009B6AF3">
        <w:rPr>
          <w:rFonts w:ascii="仿宋_GB2312" w:eastAsia="仿宋" w:cs="ArialUnicodeMS" w:hint="eastAsia"/>
          <w:kern w:val="0"/>
          <w:sz w:val="32"/>
          <w:szCs w:val="32"/>
        </w:rPr>
        <w:t>256</w:t>
      </w:r>
      <w:r w:rsidRPr="009B6AF3">
        <w:rPr>
          <w:rFonts w:ascii="仿宋_GB2312" w:eastAsia="仿宋" w:cs="ArialUnicodeMS" w:hint="eastAsia"/>
          <w:kern w:val="0"/>
          <w:sz w:val="32"/>
          <w:szCs w:val="32"/>
        </w:rPr>
        <w:t>排</w:t>
      </w:r>
      <w:r w:rsidRPr="009B6AF3">
        <w:rPr>
          <w:rFonts w:ascii="仿宋_GB2312" w:eastAsia="仿宋" w:cs="ArialUnicodeMS" w:hint="eastAsia"/>
          <w:kern w:val="0"/>
          <w:sz w:val="32"/>
          <w:szCs w:val="32"/>
        </w:rPr>
        <w:t>CT</w:t>
      </w:r>
      <w:r w:rsidRPr="009B6AF3">
        <w:rPr>
          <w:rFonts w:ascii="仿宋_GB2312" w:eastAsia="仿宋" w:cs="ArialUnicodeMS" w:hint="eastAsia"/>
          <w:kern w:val="0"/>
          <w:sz w:val="32"/>
          <w:szCs w:val="32"/>
        </w:rPr>
        <w:t>、</w:t>
      </w:r>
      <w:r w:rsidRPr="009B6AF3">
        <w:rPr>
          <w:rFonts w:ascii="仿宋_GB2312" w:eastAsia="仿宋" w:cs="ArialUnicodeMS" w:hint="eastAsia"/>
          <w:kern w:val="0"/>
          <w:sz w:val="32"/>
          <w:szCs w:val="32"/>
        </w:rPr>
        <w:t>64</w:t>
      </w:r>
      <w:r w:rsidRPr="009B6AF3">
        <w:rPr>
          <w:rFonts w:ascii="仿宋_GB2312" w:eastAsia="仿宋" w:cs="ArialUnicodeMS" w:hint="eastAsia"/>
          <w:kern w:val="0"/>
          <w:sz w:val="32"/>
          <w:szCs w:val="32"/>
        </w:rPr>
        <w:t>排</w:t>
      </w:r>
      <w:r w:rsidRPr="009B6AF3">
        <w:rPr>
          <w:rFonts w:ascii="仿宋_GB2312" w:eastAsia="仿宋" w:cs="ArialUnicodeMS" w:hint="eastAsia"/>
          <w:kern w:val="0"/>
          <w:sz w:val="32"/>
          <w:szCs w:val="32"/>
        </w:rPr>
        <w:t>128</w:t>
      </w:r>
      <w:r w:rsidRPr="009B6AF3">
        <w:rPr>
          <w:rFonts w:ascii="仿宋_GB2312" w:eastAsia="仿宋" w:cs="ArialUnicodeMS" w:hint="eastAsia"/>
          <w:kern w:val="0"/>
          <w:sz w:val="32"/>
          <w:szCs w:val="32"/>
        </w:rPr>
        <w:t>层</w:t>
      </w:r>
      <w:r w:rsidRPr="009B6AF3">
        <w:rPr>
          <w:rFonts w:ascii="仿宋_GB2312" w:eastAsia="仿宋" w:cs="ArialUnicodeMS" w:hint="eastAsia"/>
          <w:kern w:val="0"/>
          <w:sz w:val="32"/>
          <w:szCs w:val="32"/>
        </w:rPr>
        <w:t>CT</w:t>
      </w:r>
      <w:r w:rsidRPr="009B6AF3">
        <w:rPr>
          <w:rFonts w:ascii="仿宋_GB2312" w:eastAsia="仿宋" w:cs="ArialUnicodeMS" w:hint="eastAsia"/>
          <w:kern w:val="0"/>
          <w:sz w:val="32"/>
          <w:szCs w:val="32"/>
        </w:rPr>
        <w:t>、飞利浦高端彩超机、奥林巴斯高清电子胃肠镜等大型医疗设备</w:t>
      </w:r>
      <w:r w:rsidRPr="009B6AF3">
        <w:rPr>
          <w:rFonts w:ascii="仿宋_GB2312" w:eastAsia="仿宋" w:cs="ArialUnicodeMS" w:hint="eastAsia"/>
          <w:kern w:val="0"/>
          <w:sz w:val="32"/>
          <w:szCs w:val="32"/>
        </w:rPr>
        <w:t>40</w:t>
      </w:r>
      <w:r w:rsidRPr="009B6AF3">
        <w:rPr>
          <w:rFonts w:ascii="仿宋_GB2312" w:eastAsia="仿宋" w:cs="ArialUnicodeMS" w:hint="eastAsia"/>
          <w:kern w:val="0"/>
          <w:sz w:val="32"/>
          <w:szCs w:val="32"/>
        </w:rPr>
        <w:t>余台件，设备资产达</w:t>
      </w:r>
      <w:r w:rsidRPr="009B6AF3">
        <w:rPr>
          <w:rFonts w:ascii="仿宋_GB2312" w:eastAsia="仿宋" w:cs="ArialUnicodeMS" w:hint="eastAsia"/>
          <w:kern w:val="0"/>
          <w:sz w:val="32"/>
          <w:szCs w:val="32"/>
        </w:rPr>
        <w:t>1.25</w:t>
      </w:r>
      <w:r w:rsidRPr="009B6AF3">
        <w:rPr>
          <w:rFonts w:ascii="仿宋_GB2312" w:eastAsia="仿宋" w:cs="ArialUnicodeMS" w:hint="eastAsia"/>
          <w:kern w:val="0"/>
          <w:sz w:val="32"/>
          <w:szCs w:val="32"/>
        </w:rPr>
        <w:t>亿。</w:t>
      </w:r>
    </w:p>
    <w:p w:rsidR="00F73F83" w:rsidRPr="009B6AF3" w:rsidRDefault="009B6AF3" w:rsidP="009B6AF3">
      <w:pPr>
        <w:widowControl/>
        <w:spacing w:line="580" w:lineRule="exact"/>
        <w:ind w:firstLineChars="200" w:firstLine="640"/>
        <w:rPr>
          <w:rFonts w:ascii="仿宋_GB2312" w:eastAsia="仿宋" w:cs="ArialUnicodeMS"/>
          <w:kern w:val="0"/>
          <w:sz w:val="32"/>
          <w:szCs w:val="32"/>
        </w:rPr>
      </w:pPr>
      <w:r w:rsidRPr="009B6AF3">
        <w:rPr>
          <w:rFonts w:ascii="仿宋_GB2312" w:eastAsia="仿宋" w:cs="ArialUnicodeMS" w:hint="eastAsia"/>
          <w:kern w:val="0"/>
          <w:sz w:val="32"/>
          <w:szCs w:val="32"/>
        </w:rPr>
        <w:t>多年来，医院始终秉承“承古纳今、厚德济生”的宗旨，发扬“开拓、奉献、务实、自律”的医院精神，不断提高医疗技术水平和服务质量，综合竞争力显著增强，先后荣获“全国卫生计生系统先进集体”、“全国文明单位”“全国住院血糖优质护理示范单位”、“全国肛肠疾病防治工程重点单位”、“全民健康管理示范医院”、“全国冬病夏治先进单位”、“全国首批中医医院优质护理先进病房”、“优化发展环境</w:t>
      </w:r>
      <w:r w:rsidRPr="009B6AF3">
        <w:rPr>
          <w:rFonts w:ascii="仿宋_GB2312" w:eastAsia="仿宋" w:cs="ArialUnicodeMS" w:hint="eastAsia"/>
          <w:kern w:val="0"/>
          <w:sz w:val="32"/>
          <w:szCs w:val="32"/>
        </w:rPr>
        <w:t>(</w:t>
      </w:r>
      <w:r w:rsidRPr="009B6AF3">
        <w:rPr>
          <w:rFonts w:ascii="仿宋_GB2312" w:eastAsia="仿宋" w:cs="ArialUnicodeMS" w:hint="eastAsia"/>
          <w:kern w:val="0"/>
          <w:sz w:val="32"/>
          <w:szCs w:val="32"/>
        </w:rPr>
        <w:t>百家窗口千名干部</w:t>
      </w:r>
      <w:r w:rsidRPr="009B6AF3">
        <w:rPr>
          <w:rFonts w:ascii="仿宋_GB2312" w:eastAsia="仿宋" w:cs="ArialUnicodeMS" w:hint="eastAsia"/>
          <w:kern w:val="0"/>
          <w:sz w:val="32"/>
          <w:szCs w:val="32"/>
        </w:rPr>
        <w:t>)</w:t>
      </w:r>
      <w:r w:rsidRPr="009B6AF3">
        <w:rPr>
          <w:rFonts w:ascii="仿宋_GB2312" w:eastAsia="仿宋" w:cs="ArialUnicodeMS" w:hint="eastAsia"/>
          <w:kern w:val="0"/>
          <w:sz w:val="32"/>
          <w:szCs w:val="32"/>
        </w:rPr>
        <w:t>评议工作双优单位”、“河北省</w:t>
      </w:r>
      <w:r w:rsidRPr="009B6AF3">
        <w:rPr>
          <w:rFonts w:ascii="仿宋_GB2312" w:eastAsia="仿宋" w:cs="ArialUnicodeMS" w:hint="eastAsia"/>
          <w:kern w:val="0"/>
          <w:sz w:val="32"/>
          <w:szCs w:val="32"/>
        </w:rPr>
        <w:t>3A</w:t>
      </w:r>
      <w:r w:rsidRPr="009B6AF3">
        <w:rPr>
          <w:rFonts w:ascii="仿宋_GB2312" w:eastAsia="仿宋" w:cs="ArialUnicodeMS" w:hint="eastAsia"/>
          <w:kern w:val="0"/>
          <w:sz w:val="32"/>
          <w:szCs w:val="32"/>
        </w:rPr>
        <w:t>级劳动关系和谐单位”、“河北省服务名牌”、“河北省文明单位”、“市文明单位标兵（连续两年）”、艾滋病筛查优秀实验室等国家、省、市级荣誉称号</w:t>
      </w:r>
      <w:r w:rsidRPr="009B6AF3">
        <w:rPr>
          <w:rFonts w:ascii="仿宋_GB2312" w:eastAsia="仿宋" w:cs="ArialUnicodeMS" w:hint="eastAsia"/>
          <w:kern w:val="0"/>
          <w:sz w:val="32"/>
          <w:szCs w:val="32"/>
        </w:rPr>
        <w:t>100</w:t>
      </w:r>
      <w:r w:rsidRPr="009B6AF3">
        <w:rPr>
          <w:rFonts w:ascii="仿宋_GB2312" w:eastAsia="仿宋" w:cs="ArialUnicodeMS" w:hint="eastAsia"/>
          <w:kern w:val="0"/>
          <w:sz w:val="32"/>
          <w:szCs w:val="32"/>
        </w:rPr>
        <w:t>余项。</w:t>
      </w:r>
    </w:p>
    <w:p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Pr="00FD4BAC">
        <w:rPr>
          <w:rFonts w:ascii="仿宋_GB2312" w:eastAsia="仿宋" w:cs="ArialUnicodeMS" w:hint="eastAsia"/>
          <w:kern w:val="0"/>
          <w:sz w:val="32"/>
          <w:szCs w:val="32"/>
        </w:rPr>
        <w:t>2021</w:t>
      </w:r>
      <w:r w:rsidRPr="00FD4BAC">
        <w:rPr>
          <w:rFonts w:ascii="仿宋_GB2312" w:eastAsia="仿宋" w:cs="ArialUnicodeMS" w:hint="eastAsia"/>
          <w:kern w:val="0"/>
          <w:sz w:val="32"/>
          <w:szCs w:val="32"/>
        </w:rPr>
        <w:t>年度本部门决算汇编范围的独立核算单位（以下简称“单位”）共</w:t>
      </w:r>
      <w:r w:rsidR="00441703">
        <w:rPr>
          <w:rFonts w:ascii="仿宋_GB2312" w:eastAsia="仿宋" w:cs="ArialUnicodeMS" w:hint="eastAsia"/>
          <w:kern w:val="0"/>
          <w:sz w:val="32"/>
          <w:szCs w:val="32"/>
        </w:rPr>
        <w:t>1</w:t>
      </w:r>
      <w:r w:rsidRPr="00FD4BAC">
        <w:rPr>
          <w:rFonts w:ascii="仿宋_GB2312" w:eastAsia="仿宋" w:cs="ArialUnicodeMS" w:hint="eastAsia"/>
          <w:kern w:val="0"/>
          <w:sz w:val="32"/>
          <w:szCs w:val="32"/>
        </w:rPr>
        <w:t>个，具体情况如下：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F73F83">
        <w:trPr>
          <w:trHeight w:val="811"/>
          <w:jc w:val="center"/>
        </w:trPr>
        <w:tc>
          <w:tcPr>
            <w:tcW w:w="9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lastRenderedPageBreak/>
              <w:t>序号</w:t>
            </w:r>
          </w:p>
        </w:tc>
        <w:tc>
          <w:tcPr>
            <w:tcW w:w="34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73F83">
        <w:trPr>
          <w:trHeight w:val="596"/>
          <w:jc w:val="center"/>
        </w:trPr>
        <w:tc>
          <w:tcPr>
            <w:tcW w:w="985" w:type="dxa"/>
          </w:tcPr>
          <w:p w:rsidR="00F73F83" w:rsidRDefault="00B936AD">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F73F83" w:rsidRDefault="00441703">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秦皇岛市中医医院</w:t>
            </w:r>
          </w:p>
        </w:tc>
        <w:tc>
          <w:tcPr>
            <w:tcW w:w="2445" w:type="dxa"/>
          </w:tcPr>
          <w:p w:rsidR="00F73F83" w:rsidRDefault="00441703">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财政补助事业单位</w:t>
            </w:r>
          </w:p>
        </w:tc>
        <w:tc>
          <w:tcPr>
            <w:tcW w:w="2665" w:type="dxa"/>
          </w:tcPr>
          <w:p w:rsidR="00F73F83" w:rsidRDefault="00441703">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财政性资金定额或定项补助</w:t>
            </w:r>
          </w:p>
        </w:tc>
      </w:tr>
      <w:tr w:rsidR="00F73F83">
        <w:trPr>
          <w:trHeight w:val="606"/>
          <w:jc w:val="center"/>
        </w:trPr>
        <w:tc>
          <w:tcPr>
            <w:tcW w:w="9580" w:type="dxa"/>
            <w:gridSpan w:val="4"/>
            <w:tcBorders>
              <w:top w:val="single" w:sz="4" w:space="0" w:color="auto"/>
              <w:left w:val="nil"/>
              <w:bottom w:val="nil"/>
              <w:right w:val="nil"/>
            </w:tcBorders>
          </w:tcPr>
          <w:p w:rsidR="00F73F83" w:rsidRDefault="00B936AD">
            <w:pPr>
              <w:spacing w:line="560" w:lineRule="exact"/>
              <w:jc w:val="left"/>
              <w:rPr>
                <w:rFonts w:ascii="仿宋_GB2312" w:eastAsia="仿宋_GB2312" w:cs="ArialUnicodeMS"/>
                <w:kern w:val="0"/>
                <w:sz w:val="28"/>
                <w:szCs w:val="28"/>
              </w:rPr>
            </w:pPr>
            <w:r>
              <w:rPr>
                <w:rFonts w:ascii="仿宋_GB2312" w:eastAsia="仿宋_GB2312" w:cs="ArialUnicodeMS" w:hint="eastAsia"/>
                <w:kern w:val="0"/>
                <w:sz w:val="28"/>
                <w:szCs w:val="28"/>
              </w:rPr>
              <w:t>注：1、单位基本性质分为行政单位、参公事业单位、财政补助事业单位、经费自理事业单位四类。</w:t>
            </w:r>
          </w:p>
          <w:p w:rsidR="00F73F83" w:rsidRDefault="00B936AD">
            <w:pPr>
              <w:spacing w:line="560" w:lineRule="exact"/>
              <w:ind w:firstLineChars="200" w:firstLine="560"/>
              <w:jc w:val="left"/>
              <w:rPr>
                <w:rFonts w:ascii="仿宋_GB2312" w:eastAsia="仿宋_GB2312" w:cs="ArialUnicodeMS"/>
                <w:kern w:val="0"/>
                <w:sz w:val="28"/>
                <w:szCs w:val="28"/>
              </w:rPr>
            </w:pPr>
            <w:r>
              <w:rPr>
                <w:rFonts w:ascii="仿宋_GB2312" w:eastAsia="仿宋_GB2312" w:cs="ArialUnicodeMS" w:hint="eastAsia"/>
                <w:kern w:val="0"/>
                <w:sz w:val="28"/>
                <w:szCs w:val="28"/>
              </w:rPr>
              <w:t>2、经费形式分为财政拨款、财政性资金基本保证、财政性资金定额或定项补助、财政性资金零补助四类。</w:t>
            </w:r>
          </w:p>
        </w:tc>
      </w:tr>
    </w:tbl>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F73F83" w:rsidRDefault="00F73F83" w:rsidP="00046EDD">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D9752C">
      <w:pPr>
        <w:widowControl/>
        <w:spacing w:after="160" w:line="580" w:lineRule="exact"/>
        <w:ind w:firstLineChars="200" w:firstLine="880"/>
        <w:rPr>
          <w:rFonts w:ascii="黑体" w:eastAsia="黑体" w:hAnsi="黑体" w:cs="黑体"/>
          <w:color w:val="000000"/>
          <w:sz w:val="44"/>
          <w:szCs w:val="44"/>
        </w:rPr>
      </w:pPr>
    </w:p>
    <w:p w:rsidR="00D9752C" w:rsidRDefault="00A40161">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80256" behindDoc="0" locked="0" layoutInCell="1" allowOverlap="1">
            <wp:simplePos x="0" y="0"/>
            <wp:positionH relativeFrom="column">
              <wp:posOffset>256540</wp:posOffset>
            </wp:positionH>
            <wp:positionV relativeFrom="margin">
              <wp:posOffset>1847215</wp:posOffset>
            </wp:positionV>
            <wp:extent cx="581025" cy="571500"/>
            <wp:effectExtent l="0" t="0" r="0" b="0"/>
            <wp:wrapNone/>
            <wp:docPr id="2"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23" cstate="print"/>
                    <a:srcRect/>
                    <a:stretch/>
                  </pic:blipFill>
                  <pic:spPr>
                    <a:xfrm>
                      <a:off x="0" y="0"/>
                      <a:ext cx="581025" cy="571500"/>
                    </a:xfrm>
                    <a:prstGeom prst="rect">
                      <a:avLst/>
                    </a:prstGeom>
                  </pic:spPr>
                </pic:pic>
              </a:graphicData>
            </a:graphic>
          </wp:anchor>
        </w:drawing>
      </w:r>
    </w:p>
    <w:p w:rsidR="0076554D" w:rsidRDefault="0076554D" w:rsidP="00046EDD">
      <w:pPr>
        <w:widowControl/>
        <w:spacing w:after="160" w:line="580" w:lineRule="exact"/>
        <w:ind w:firstLineChars="350" w:firstLine="1540"/>
        <w:rPr>
          <w:rFonts w:ascii="黑体" w:eastAsia="黑体" w:hAnsi="黑体" w:cs="黑体"/>
          <w:color w:val="000000"/>
          <w:sz w:val="44"/>
          <w:szCs w:val="44"/>
        </w:rPr>
      </w:pPr>
    </w:p>
    <w:p w:rsidR="00F73F83" w:rsidRDefault="00B936AD" w:rsidP="00046EDD">
      <w:pPr>
        <w:widowControl/>
        <w:spacing w:after="160" w:line="580" w:lineRule="exact"/>
        <w:ind w:firstLineChars="350" w:firstLine="1540"/>
        <w:rPr>
          <w:rFonts w:ascii="黑体" w:eastAsia="黑体" w:hAnsi="黑体" w:cs="黑体"/>
          <w:color w:val="000000"/>
          <w:sz w:val="44"/>
          <w:szCs w:val="44"/>
        </w:rPr>
      </w:pPr>
      <w:r>
        <w:rPr>
          <w:rFonts w:ascii="黑体" w:eastAsia="黑体" w:hAnsi="黑体" w:cs="黑体" w:hint="eastAsia"/>
          <w:color w:val="000000"/>
          <w:sz w:val="44"/>
          <w:szCs w:val="44"/>
        </w:rPr>
        <w:t>第二部分  2021年度部门决</w:t>
      </w:r>
      <w:r w:rsidR="0044343F">
        <w:rPr>
          <w:rFonts w:ascii="黑体" w:eastAsia="黑体" w:hAnsi="黑体" w:cs="黑体" w:hint="eastAsia"/>
          <w:color w:val="000000"/>
          <w:sz w:val="44"/>
          <w:szCs w:val="44"/>
        </w:rPr>
        <w:t>算</w:t>
      </w:r>
      <w:r w:rsidR="00046EDD">
        <w:rPr>
          <w:rFonts w:ascii="黑体" w:eastAsia="黑体" w:hAnsi="黑体" w:cs="黑体" w:hint="eastAsia"/>
          <w:color w:val="000000"/>
          <w:sz w:val="44"/>
          <w:szCs w:val="44"/>
        </w:rPr>
        <w:t>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DB3CEE">
          <w:headerReference w:type="default" r:id="rId24"/>
          <w:pgSz w:w="11906" w:h="16838"/>
          <w:pgMar w:top="2041" w:right="1531" w:bottom="1774" w:left="1531" w:header="851" w:footer="340" w:gutter="0"/>
          <w:pgNumType w:fmt="numberInDash"/>
          <w:cols w:space="0"/>
          <w:docGrid w:type="lines" w:linePitch="312"/>
        </w:sectPr>
      </w:pPr>
    </w:p>
    <w:p w:rsidR="00831F2E" w:rsidRDefault="00100D00" w:rsidP="00A56ACB">
      <w:pPr>
        <w:jc w:val="center"/>
        <w:rPr>
          <w:sz w:val="20"/>
          <w:szCs w:val="20"/>
        </w:rPr>
      </w:pPr>
      <w:r w:rsidRPr="00100D00">
        <w:rPr>
          <w:rFonts w:hint="eastAsia"/>
          <w:noProof/>
          <w:sz w:val="20"/>
          <w:szCs w:val="20"/>
        </w:rPr>
        <w:lastRenderedPageBreak/>
        <w:drawing>
          <wp:anchor distT="0" distB="0" distL="114300" distR="114300" simplePos="0" relativeHeight="251664896"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1340" cy="5615940"/>
                    </a:xfrm>
                    <a:prstGeom prst="rect">
                      <a:avLst/>
                    </a:prstGeom>
                    <a:noFill/>
                    <a:ln>
                      <a:noFill/>
                    </a:ln>
                  </pic:spPr>
                </pic:pic>
              </a:graphicData>
            </a:graphic>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65920" behindDoc="0" locked="0" layoutInCell="1" allowOverlap="0">
            <wp:simplePos x="0" y="0"/>
            <wp:positionH relativeFrom="column">
              <wp:posOffset>3810</wp:posOffset>
            </wp:positionH>
            <wp:positionV relativeFrom="paragraph">
              <wp:posOffset>-635</wp:posOffset>
            </wp:positionV>
            <wp:extent cx="9204960" cy="3803015"/>
            <wp:effectExtent l="0" t="0" r="0" b="698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4960" cy="3803015"/>
                    </a:xfrm>
                    <a:prstGeom prst="rect">
                      <a:avLst/>
                    </a:prstGeom>
                    <a:noFill/>
                    <a:ln>
                      <a:noFill/>
                    </a:ln>
                  </pic:spPr>
                </pic:pic>
              </a:graphicData>
            </a:graphic>
          </wp:anchor>
        </w:drawing>
      </w:r>
      <w:r w:rsidR="00831F2E">
        <w:rPr>
          <w:sz w:val="20"/>
          <w:szCs w:val="20"/>
        </w:rPr>
        <w:br w:type="page"/>
      </w:r>
    </w:p>
    <w:p w:rsidR="00831F2E" w:rsidRDefault="00831F2E" w:rsidP="00831F2E">
      <w:pPr>
        <w:widowControl/>
        <w:jc w:val="center"/>
        <w:rPr>
          <w:sz w:val="20"/>
          <w:szCs w:val="20"/>
        </w:rPr>
      </w:pPr>
    </w:p>
    <w:p w:rsidR="00831F2E" w:rsidRDefault="00100D00" w:rsidP="00831F2E">
      <w:pPr>
        <w:widowControl/>
        <w:jc w:val="center"/>
        <w:rPr>
          <w:sz w:val="20"/>
          <w:szCs w:val="20"/>
        </w:rPr>
      </w:pPr>
      <w:r w:rsidRPr="00100D00">
        <w:rPr>
          <w:rFonts w:hint="eastAsia"/>
          <w:noProof/>
          <w:sz w:val="20"/>
          <w:szCs w:val="20"/>
        </w:rPr>
        <w:drawing>
          <wp:anchor distT="0" distB="0" distL="114300" distR="114300" simplePos="0" relativeHeight="251666944" behindDoc="0" locked="0" layoutInCell="1" allowOverlap="0">
            <wp:simplePos x="0" y="0"/>
            <wp:positionH relativeFrom="column">
              <wp:posOffset>3810</wp:posOffset>
            </wp:positionH>
            <wp:positionV relativeFrom="paragraph">
              <wp:posOffset>-3175</wp:posOffset>
            </wp:positionV>
            <wp:extent cx="9204960" cy="4238625"/>
            <wp:effectExtent l="0" t="0" r="0"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4960" cy="4238625"/>
                    </a:xfrm>
                    <a:prstGeom prst="rect">
                      <a:avLst/>
                    </a:prstGeom>
                    <a:noFill/>
                    <a:ln>
                      <a:noFill/>
                    </a:ln>
                  </pic:spPr>
                </pic:pic>
              </a:graphicData>
            </a:graphic>
          </wp:anchor>
        </w:drawing>
      </w:r>
    </w:p>
    <w:p w:rsidR="00831F2E" w:rsidRDefault="00831F2E">
      <w:pPr>
        <w:widowControl/>
        <w:jc w:val="left"/>
        <w:rPr>
          <w:sz w:val="20"/>
          <w:szCs w:val="20"/>
        </w:rPr>
      </w:pPr>
      <w:r>
        <w:rPr>
          <w:sz w:val="20"/>
          <w:szCs w:val="20"/>
        </w:rPr>
        <w:br w:type="page"/>
      </w:r>
    </w:p>
    <w:p w:rsidR="00831F2E"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67968"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960" cy="5615940"/>
                    </a:xfrm>
                    <a:prstGeom prst="rect">
                      <a:avLst/>
                    </a:prstGeom>
                    <a:noFill/>
                    <a:ln>
                      <a:noFill/>
                    </a:ln>
                  </pic:spPr>
                </pic:pic>
              </a:graphicData>
            </a:graphic>
          </wp:anchor>
        </w:drawing>
      </w:r>
      <w:r w:rsidR="00831F2E">
        <w:rPr>
          <w:sz w:val="20"/>
          <w:szCs w:val="20"/>
        </w:rPr>
        <w:br w:type="page"/>
      </w:r>
    </w:p>
    <w:p w:rsidR="00831F2E"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68992" behindDoc="0" locked="0" layoutInCell="1" allowOverlap="0">
            <wp:simplePos x="0" y="0"/>
            <wp:positionH relativeFrom="column">
              <wp:posOffset>889635</wp:posOffset>
            </wp:positionH>
            <wp:positionV relativeFrom="paragraph">
              <wp:posOffset>-635</wp:posOffset>
            </wp:positionV>
            <wp:extent cx="7419975" cy="4581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9975" cy="4581525"/>
                    </a:xfrm>
                    <a:prstGeom prst="rect">
                      <a:avLst/>
                    </a:prstGeom>
                    <a:noFill/>
                    <a:ln>
                      <a:noFill/>
                    </a:ln>
                  </pic:spPr>
                </pic:pic>
              </a:graphicData>
            </a:graphic>
          </wp:anchor>
        </w:drawing>
      </w:r>
      <w:r w:rsidR="00831F2E">
        <w:rPr>
          <w:sz w:val="20"/>
          <w:szCs w:val="20"/>
        </w:rPr>
        <w:br w:type="page"/>
      </w:r>
    </w:p>
    <w:p w:rsidR="00831F2E"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70016"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4960" cy="5415280"/>
                    </a:xfrm>
                    <a:prstGeom prst="rect">
                      <a:avLst/>
                    </a:prstGeom>
                    <a:noFill/>
                    <a:ln>
                      <a:noFill/>
                    </a:ln>
                  </pic:spPr>
                </pic:pic>
              </a:graphicData>
            </a:graphic>
          </wp:anchor>
        </w:drawing>
      </w:r>
      <w:r w:rsidR="00831F2E">
        <w:rPr>
          <w:sz w:val="20"/>
          <w:szCs w:val="20"/>
        </w:rPr>
        <w:br w:type="page"/>
      </w:r>
    </w:p>
    <w:p w:rsidR="00831F2E"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71040"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4960" cy="1940560"/>
                    </a:xfrm>
                    <a:prstGeom prst="rect">
                      <a:avLst/>
                    </a:prstGeom>
                    <a:noFill/>
                    <a:ln>
                      <a:noFill/>
                    </a:ln>
                  </pic:spPr>
                </pic:pic>
              </a:graphicData>
            </a:graphic>
          </wp:anchor>
        </w:drawing>
      </w:r>
      <w:r w:rsidR="00831F2E">
        <w:rPr>
          <w:sz w:val="20"/>
          <w:szCs w:val="20"/>
        </w:rPr>
        <w:br w:type="page"/>
      </w:r>
    </w:p>
    <w:p w:rsidR="00CD03A9" w:rsidRDefault="00100D00" w:rsidP="00A56ACB">
      <w:pPr>
        <w:widowControl/>
        <w:jc w:val="center"/>
        <w:rPr>
          <w:sz w:val="20"/>
          <w:szCs w:val="20"/>
        </w:rPr>
      </w:pPr>
      <w:r w:rsidRPr="00100D00">
        <w:rPr>
          <w:rFonts w:hint="eastAsia"/>
          <w:noProof/>
          <w:sz w:val="20"/>
          <w:szCs w:val="20"/>
        </w:rPr>
        <w:lastRenderedPageBreak/>
        <w:drawing>
          <wp:anchor distT="0" distB="0" distL="114300" distR="114300" simplePos="0" relativeHeight="251672064"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4960" cy="2988310"/>
                    </a:xfrm>
                    <a:prstGeom prst="rect">
                      <a:avLst/>
                    </a:prstGeom>
                    <a:noFill/>
                    <a:ln>
                      <a:noFill/>
                    </a:ln>
                  </pic:spPr>
                </pic:pic>
              </a:graphicData>
            </a:graphic>
          </wp:anchor>
        </w:drawing>
      </w:r>
      <w:r w:rsidR="00CD03A9">
        <w:rPr>
          <w:sz w:val="20"/>
          <w:szCs w:val="20"/>
        </w:rPr>
        <w:br w:type="page"/>
      </w:r>
    </w:p>
    <w:p w:rsidR="00831F2E" w:rsidRDefault="00100D00" w:rsidP="00831F2E">
      <w:pPr>
        <w:widowControl/>
        <w:jc w:val="center"/>
        <w:rPr>
          <w:sz w:val="20"/>
          <w:szCs w:val="20"/>
        </w:rPr>
      </w:pPr>
      <w:r w:rsidRPr="00100D00">
        <w:rPr>
          <w:rFonts w:hint="eastAsia"/>
          <w:noProof/>
          <w:sz w:val="20"/>
          <w:szCs w:val="20"/>
        </w:rPr>
        <w:lastRenderedPageBreak/>
        <w:drawing>
          <wp:anchor distT="0" distB="0" distL="114300" distR="114300" simplePos="0" relativeHeight="251673088"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4125" cy="3076575"/>
                    </a:xfrm>
                    <a:prstGeom prst="rect">
                      <a:avLst/>
                    </a:prstGeom>
                    <a:noFill/>
                    <a:ln>
                      <a:noFill/>
                    </a:ln>
                  </pic:spPr>
                </pic:pic>
              </a:graphicData>
            </a:graphic>
          </wp:anchor>
        </w:drawing>
      </w:r>
    </w:p>
    <w:p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CD03A9">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34" cstate="print"/>
                    <a:srcRect/>
                    <a:stretch/>
                  </pic:blipFill>
                  <pic:spPr>
                    <a:xfrm>
                      <a:off x="0" y="0"/>
                      <a:ext cx="660400" cy="660400"/>
                    </a:xfrm>
                    <a:prstGeom prst="rect">
                      <a:avLst/>
                    </a:prstGeom>
                  </pic:spPr>
                </pic:pic>
              </a:graphicData>
            </a:graphic>
          </wp:anchor>
        </w:drawing>
      </w:r>
    </w:p>
    <w:p w:rsidR="00F73F83" w:rsidRDefault="00F73F83">
      <w:pPr>
        <w:widowControl/>
        <w:jc w:val="center"/>
        <w:rPr>
          <w:rFonts w:eastAsia="黑体"/>
          <w:sz w:val="32"/>
          <w:szCs w:val="32"/>
        </w:rPr>
      </w:pP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第三部分 2021年度部门决算情况说明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441703"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年度收、支总计（含结转和结余）</w:t>
      </w:r>
      <w:r w:rsidR="00100D00">
        <w:rPr>
          <w:rFonts w:ascii="仿宋_GB2312" w:eastAsia="仿宋" w:hAnsi="Times New Roman" w:cs="DengXian-Regular"/>
          <w:sz w:val="32"/>
          <w:szCs w:val="32"/>
        </w:rPr>
        <w:t>67375.15</w:t>
      </w:r>
      <w:r w:rsidRPr="00FD4BAC">
        <w:rPr>
          <w:rFonts w:ascii="仿宋_GB2312" w:eastAsia="仿宋" w:hAnsi="Times New Roman" w:cs="DengXian-Regular" w:hint="eastAsia"/>
          <w:sz w:val="32"/>
          <w:szCs w:val="32"/>
        </w:rPr>
        <w:t>万元。与</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t>年度决算相比，收支各</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17326.94</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sz w:val="32"/>
          <w:szCs w:val="32"/>
        </w:rPr>
        <w:t>增长</w:t>
      </w:r>
      <w:r w:rsidR="00100D00">
        <w:rPr>
          <w:rFonts w:ascii="仿宋_GB2312" w:eastAsia="仿宋" w:hAnsi="Times New Roman" w:cs="DengXian-Regular"/>
          <w:sz w:val="32"/>
          <w:szCs w:val="32"/>
        </w:rPr>
        <w:t>34.6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441703">
        <w:rPr>
          <w:rFonts w:ascii="仿宋_GB2312" w:eastAsia="仿宋" w:hAnsi="Times New Roman" w:cs="DengXian-Regular" w:hint="eastAsia"/>
          <w:sz w:val="32"/>
          <w:szCs w:val="32"/>
        </w:rPr>
        <w:t>主要原因是</w:t>
      </w:r>
      <w:r w:rsidR="00441703" w:rsidRPr="00441703">
        <w:rPr>
          <w:rFonts w:ascii="仿宋_GB2312" w:eastAsia="仿宋" w:hAnsi="Times New Roman" w:cs="DengXian-Regular" w:hint="eastAsia"/>
          <w:sz w:val="32"/>
          <w:szCs w:val="32"/>
        </w:rPr>
        <w:t>医院</w:t>
      </w:r>
      <w:r w:rsidR="00441703" w:rsidRPr="00441703">
        <w:rPr>
          <w:rFonts w:ascii="仿宋_GB2312" w:eastAsia="仿宋" w:hAnsi="Times New Roman" w:cs="DengXian-Regular" w:hint="eastAsia"/>
          <w:sz w:val="32"/>
          <w:szCs w:val="32"/>
        </w:rPr>
        <w:t>2021</w:t>
      </w:r>
      <w:r w:rsidR="00441703" w:rsidRPr="00441703">
        <w:rPr>
          <w:rFonts w:ascii="仿宋_GB2312" w:eastAsia="仿宋" w:hAnsi="Times New Roman" w:cs="DengXian-Regular" w:hint="eastAsia"/>
          <w:sz w:val="32"/>
          <w:szCs w:val="32"/>
        </w:rPr>
        <w:t>年投入基本建设</w:t>
      </w:r>
      <w:r w:rsidR="00441703" w:rsidRPr="00441703">
        <w:rPr>
          <w:rFonts w:ascii="仿宋_GB2312" w:eastAsia="仿宋" w:hAnsi="Times New Roman" w:cs="DengXian-Regular" w:hint="eastAsia"/>
          <w:sz w:val="32"/>
          <w:szCs w:val="32"/>
        </w:rPr>
        <w:t>,</w:t>
      </w:r>
      <w:r w:rsidR="00441703" w:rsidRPr="00441703">
        <w:rPr>
          <w:rFonts w:ascii="仿宋_GB2312" w:eastAsia="仿宋" w:hAnsi="Times New Roman" w:cs="DengXian-Regular" w:hint="eastAsia"/>
          <w:sz w:val="32"/>
          <w:szCs w:val="32"/>
        </w:rPr>
        <w:t>分别建设医用综合楼项目和发热门诊项目</w:t>
      </w:r>
      <w:r w:rsidR="00441703">
        <w:rPr>
          <w:rFonts w:ascii="仿宋_GB2312" w:eastAsia="仿宋" w:hAnsi="Times New Roman"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14"/>
      </w:tblGrid>
      <w:tr w:rsidR="00EC0D10" w:rsidTr="00F707AD">
        <w:trPr>
          <w:trHeight w:val="4483"/>
          <w:jc w:val="center"/>
        </w:trPr>
        <w:tc>
          <w:tcPr>
            <w:tcW w:w="8114" w:type="dxa"/>
            <w:vAlign w:val="bottom"/>
          </w:tcPr>
          <w:p w:rsidR="00EC0D10" w:rsidRPr="00FD4BAC" w:rsidRDefault="00100D00" w:rsidP="00EB0B87">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sidRPr="00100D00">
              <w:rPr>
                <w:rFonts w:ascii="仿宋_GB2312" w:eastAsia="仿宋" w:hAnsi="Times New Roman" w:cs="DengXian-Regular" w:hint="eastAsia"/>
                <w:noProof/>
                <w:sz w:val="32"/>
                <w:szCs w:val="32"/>
                <w:highlight w:val="yellow"/>
              </w:rPr>
              <w:drawing>
                <wp:anchor distT="0" distB="0" distL="114300" distR="114300" simplePos="0" relativeHeight="251674112"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733675"/>
                          </a:xfrm>
                          <a:prstGeom prst="rect">
                            <a:avLst/>
                          </a:prstGeom>
                          <a:noFill/>
                          <a:ln>
                            <a:noFill/>
                          </a:ln>
                        </pic:spPr>
                      </pic:pic>
                    </a:graphicData>
                  </a:graphic>
                </wp:anchor>
              </w:drawing>
            </w:r>
          </w:p>
        </w:tc>
      </w:tr>
    </w:tbl>
    <w:bookmarkEnd w:id="0"/>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年度收入合计</w:t>
      </w:r>
      <w:r w:rsidR="00100D00">
        <w:rPr>
          <w:rFonts w:ascii="仿宋_GB2312" w:eastAsia="仿宋" w:hAnsi="Times New Roman" w:cs="DengXian-Regular"/>
          <w:sz w:val="32"/>
          <w:szCs w:val="32"/>
        </w:rPr>
        <w:t>59932.10</w:t>
      </w:r>
      <w:r w:rsidRPr="00FD4BAC">
        <w:rPr>
          <w:rFonts w:ascii="仿宋_GB2312" w:eastAsia="仿宋" w:hAnsi="Times New Roman" w:cs="DengXian-Regular" w:hint="eastAsia"/>
          <w:sz w:val="32"/>
          <w:szCs w:val="32"/>
        </w:rPr>
        <w:t>万元，其中：财政拨款收入</w:t>
      </w:r>
      <w:r w:rsidR="00100D00">
        <w:rPr>
          <w:rFonts w:ascii="仿宋_GB2312" w:eastAsia="仿宋" w:hAnsi="Times New Roman" w:cs="DengXian-Regular"/>
          <w:sz w:val="32"/>
          <w:szCs w:val="32"/>
        </w:rPr>
        <w:t>8174.18</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13.6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；事业收入</w:t>
      </w:r>
      <w:r w:rsidR="00100D00">
        <w:rPr>
          <w:rFonts w:ascii="仿宋_GB2312" w:eastAsia="仿宋" w:hAnsi="Times New Roman" w:cs="DengXian-Regular"/>
          <w:sz w:val="32"/>
          <w:szCs w:val="32"/>
        </w:rPr>
        <w:t>51505.53</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85.9</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；经营收入</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；其他收入</w:t>
      </w:r>
      <w:r w:rsidR="00100D00">
        <w:rPr>
          <w:rFonts w:ascii="仿宋_GB2312" w:eastAsia="仿宋" w:hAnsi="Times New Roman" w:cs="DengXian-Regular"/>
          <w:sz w:val="32"/>
          <w:szCs w:val="32"/>
        </w:rPr>
        <w:t>252.39</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0.4</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02"/>
      </w:tblGrid>
      <w:tr w:rsidR="00CC4FDE" w:rsidTr="00F707AD">
        <w:trPr>
          <w:trHeight w:val="5048"/>
        </w:trPr>
        <w:tc>
          <w:tcPr>
            <w:tcW w:w="7802" w:type="dxa"/>
            <w:vAlign w:val="bottom"/>
          </w:tcPr>
          <w:p w:rsidR="00CC4FDE" w:rsidRPr="00FD4BAC" w:rsidRDefault="00100D00" w:rsidP="00CC4FDE">
            <w:pPr>
              <w:adjustRightInd w:val="0"/>
              <w:snapToGrid w:val="0"/>
              <w:spacing w:line="580" w:lineRule="exact"/>
              <w:jc w:val="center"/>
              <w:rPr>
                <w:rFonts w:ascii="仿宋_GB2312" w:eastAsia="仿宋" w:hAnsi="Times New Roman" w:cs="DengXian-Regular"/>
                <w:sz w:val="32"/>
                <w:szCs w:val="32"/>
                <w:highlight w:val="yellow"/>
              </w:rPr>
            </w:pPr>
            <w:r w:rsidRPr="00100D00">
              <w:rPr>
                <w:rFonts w:ascii="仿宋_GB2312" w:eastAsia="仿宋" w:hAnsi="Times New Roman" w:cs="DengXian-Regular" w:hint="eastAsia"/>
                <w:noProof/>
                <w:sz w:val="32"/>
                <w:szCs w:val="32"/>
                <w:highlight w:val="yellow"/>
              </w:rPr>
              <w:lastRenderedPageBreak/>
              <w:drawing>
                <wp:anchor distT="0" distB="0" distL="114300" distR="114300" simplePos="0" relativeHeight="251675136"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086100"/>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年度支出合计</w:t>
      </w:r>
      <w:r w:rsidR="00100D00">
        <w:rPr>
          <w:rFonts w:ascii="仿宋_GB2312" w:eastAsia="仿宋" w:hAnsi="Times New Roman" w:cs="DengXian-Regular"/>
          <w:sz w:val="32"/>
          <w:szCs w:val="32"/>
        </w:rPr>
        <w:t>65695.49</w:t>
      </w:r>
      <w:r w:rsidRPr="00FD4BAC">
        <w:rPr>
          <w:rFonts w:ascii="仿宋_GB2312" w:eastAsia="仿宋" w:hAnsi="Times New Roman" w:cs="DengXian-Regular" w:hint="eastAsia"/>
          <w:sz w:val="32"/>
          <w:szCs w:val="32"/>
        </w:rPr>
        <w:t>万元，其中：基本支出</w:t>
      </w:r>
      <w:r w:rsidR="00100D00">
        <w:rPr>
          <w:rFonts w:ascii="仿宋_GB2312" w:eastAsia="仿宋" w:hAnsi="Times New Roman" w:cs="DengXian-Regular"/>
          <w:sz w:val="32"/>
          <w:szCs w:val="32"/>
        </w:rPr>
        <w:t>57437.11</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87.4</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；项目支出</w:t>
      </w:r>
      <w:r w:rsidR="00100D00">
        <w:rPr>
          <w:rFonts w:ascii="仿宋_GB2312" w:eastAsia="仿宋" w:hAnsi="Times New Roman" w:cs="DengXian-Regular"/>
          <w:sz w:val="32"/>
          <w:szCs w:val="32"/>
        </w:rPr>
        <w:t>8258.38</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12.6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；经营支出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万元，占</w:t>
      </w:r>
      <w:r w:rsidR="00100D00">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4779DD" w:rsidTr="008A3227">
        <w:trPr>
          <w:trHeight w:val="4887"/>
        </w:trPr>
        <w:tc>
          <w:tcPr>
            <w:tcW w:w="7825" w:type="dxa"/>
            <w:vAlign w:val="bottom"/>
          </w:tcPr>
          <w:p w:rsidR="004779DD" w:rsidRPr="00FD4BAC" w:rsidRDefault="00100D00" w:rsidP="004779DD">
            <w:pPr>
              <w:adjustRightInd w:val="0"/>
              <w:snapToGrid w:val="0"/>
              <w:spacing w:line="580" w:lineRule="exact"/>
              <w:jc w:val="center"/>
              <w:rPr>
                <w:rFonts w:ascii="仿宋_GB2312" w:eastAsia="仿宋" w:hAnsi="Times New Roman" w:cs="DengXian-Regular"/>
                <w:sz w:val="32"/>
                <w:szCs w:val="32"/>
                <w:highlight w:val="yellow"/>
              </w:rPr>
            </w:pPr>
            <w:r w:rsidRPr="00100D00">
              <w:rPr>
                <w:rFonts w:ascii="仿宋_GB2312" w:eastAsia="仿宋" w:hAnsi="Times New Roman" w:cs="DengXian-Regular" w:hint="eastAsia"/>
                <w:noProof/>
                <w:sz w:val="32"/>
                <w:szCs w:val="32"/>
                <w:highlight w:val="yellow"/>
              </w:rPr>
              <w:drawing>
                <wp:anchor distT="0" distB="0" distL="114300" distR="114300" simplePos="0" relativeHeight="251676160"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733675"/>
                          </a:xfrm>
                          <a:prstGeom prst="rect">
                            <a:avLst/>
                          </a:prstGeom>
                          <a:noFill/>
                          <a:ln>
                            <a:noFill/>
                          </a:ln>
                        </pic:spPr>
                      </pic:pic>
                    </a:graphicData>
                  </a:graphic>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Pr="00FD4BAC">
        <w:rPr>
          <w:rFonts w:ascii="楷体_GB2312" w:eastAsia="楷体" w:hAnsi="Times New Roman" w:cs="DengXian-Bold" w:hint="eastAsia"/>
          <w:b/>
          <w:bCs/>
          <w:sz w:val="32"/>
          <w:szCs w:val="32"/>
        </w:rPr>
        <w:t>2020</w:t>
      </w:r>
      <w:r w:rsidRPr="00FD4BAC">
        <w:rPr>
          <w:rFonts w:ascii="楷体_GB2312" w:eastAsia="楷体" w:hAnsi="Times New Roman" w:cs="DengXian-Bold" w:hint="eastAsia"/>
          <w:b/>
          <w:bCs/>
          <w:sz w:val="32"/>
          <w:szCs w:val="32"/>
        </w:rPr>
        <w:t>年度决算对比情况</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年度财政拨款本年收入</w:t>
      </w:r>
      <w:r w:rsidR="00100D00">
        <w:rPr>
          <w:rFonts w:ascii="仿宋_GB2312" w:eastAsia="仿宋" w:hAnsi="Times New Roman" w:cs="DengXian-Regular"/>
          <w:sz w:val="32"/>
          <w:szCs w:val="32"/>
        </w:rPr>
        <w:t>8174.18</w:t>
      </w:r>
      <w:r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lastRenderedPageBreak/>
        <w:t>年度</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1674.71</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sz w:val="32"/>
          <w:szCs w:val="32"/>
        </w:rPr>
        <w:t>增长</w:t>
      </w:r>
      <w:r w:rsidR="00100D00">
        <w:rPr>
          <w:rFonts w:ascii="仿宋_GB2312" w:eastAsia="仿宋" w:hAnsi="Times New Roman" w:cs="DengXian-Regular"/>
          <w:sz w:val="32"/>
          <w:szCs w:val="32"/>
        </w:rPr>
        <w:t>25.8</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C601FE">
        <w:rPr>
          <w:rFonts w:ascii="仿宋_GB2312" w:eastAsia="仿宋" w:hAnsi="Times New Roman" w:cs="DengXian-Regular" w:hint="eastAsia"/>
          <w:sz w:val="32"/>
          <w:szCs w:val="32"/>
        </w:rPr>
        <w:t>主要</w:t>
      </w:r>
      <w:r w:rsidR="008A3227" w:rsidRPr="00C601FE">
        <w:rPr>
          <w:rFonts w:ascii="仿宋_GB2312" w:eastAsia="仿宋" w:hAnsi="Times New Roman" w:cs="DengXian-Regular" w:hint="eastAsia"/>
          <w:sz w:val="32"/>
          <w:szCs w:val="32"/>
        </w:rPr>
        <w:t>原因</w:t>
      </w:r>
      <w:r w:rsidRPr="00C601FE">
        <w:rPr>
          <w:rFonts w:ascii="仿宋_GB2312" w:eastAsia="仿宋" w:hAnsi="Times New Roman" w:cs="DengXian-Regular" w:hint="eastAsia"/>
          <w:sz w:val="32"/>
          <w:szCs w:val="32"/>
        </w:rPr>
        <w:t>是</w:t>
      </w:r>
      <w:r w:rsidR="00C601FE" w:rsidRPr="00C601FE">
        <w:rPr>
          <w:rFonts w:ascii="仿宋_GB2312" w:eastAsia="仿宋" w:hAnsi="Times New Roman" w:cs="DengXian-Regular" w:hint="eastAsia"/>
          <w:sz w:val="32"/>
          <w:szCs w:val="32"/>
        </w:rPr>
        <w:t>项目拨款</w:t>
      </w:r>
      <w:r w:rsidR="00C601FE" w:rsidRPr="00C601FE">
        <w:rPr>
          <w:rFonts w:ascii="仿宋_GB2312" w:eastAsia="仿宋" w:hAnsi="Times New Roman" w:cs="DengXian-Regular" w:hint="eastAsia"/>
          <w:sz w:val="32"/>
          <w:szCs w:val="32"/>
        </w:rPr>
        <w:t>,</w:t>
      </w:r>
      <w:r w:rsidR="00C601FE" w:rsidRPr="00C601FE">
        <w:rPr>
          <w:rFonts w:ascii="仿宋_GB2312" w:eastAsia="仿宋" w:hAnsi="Times New Roman" w:cs="DengXian-Regular" w:hint="eastAsia"/>
          <w:sz w:val="32"/>
          <w:szCs w:val="32"/>
        </w:rPr>
        <w:t>其中基本建设拨款</w:t>
      </w:r>
      <w:r w:rsidR="00C601FE" w:rsidRPr="00C601FE">
        <w:rPr>
          <w:rFonts w:ascii="仿宋_GB2312" w:eastAsia="仿宋" w:hAnsi="Times New Roman" w:cs="DengXian-Regular" w:hint="eastAsia"/>
          <w:sz w:val="32"/>
          <w:szCs w:val="32"/>
        </w:rPr>
        <w:t>4630</w:t>
      </w:r>
      <w:r w:rsidR="00C601FE" w:rsidRPr="00C601FE">
        <w:rPr>
          <w:rFonts w:ascii="仿宋_GB2312" w:eastAsia="仿宋" w:hAnsi="Times New Roman" w:cs="DengXian-Regular" w:hint="eastAsia"/>
          <w:sz w:val="32"/>
          <w:szCs w:val="32"/>
        </w:rPr>
        <w:t>万元</w:t>
      </w:r>
      <w:r w:rsidR="00C601FE" w:rsidRPr="00C601FE">
        <w:rPr>
          <w:rFonts w:ascii="仿宋_GB2312" w:eastAsia="仿宋" w:hAnsi="Times New Roman" w:cs="DengXian-Regular" w:hint="eastAsia"/>
          <w:sz w:val="32"/>
          <w:szCs w:val="32"/>
        </w:rPr>
        <w:t>,</w:t>
      </w:r>
      <w:r w:rsidR="00C601FE" w:rsidRPr="00C601FE">
        <w:rPr>
          <w:rFonts w:ascii="仿宋_GB2312" w:eastAsia="仿宋" w:hAnsi="Times New Roman" w:cs="DengXian-Regular" w:hint="eastAsia"/>
          <w:sz w:val="32"/>
          <w:szCs w:val="32"/>
        </w:rPr>
        <w:t>分别为医用综合楼项目</w:t>
      </w:r>
      <w:r w:rsidR="00C601FE" w:rsidRPr="00C601FE">
        <w:rPr>
          <w:rFonts w:ascii="仿宋_GB2312" w:eastAsia="仿宋" w:hAnsi="Times New Roman" w:cs="DengXian-Regular" w:hint="eastAsia"/>
          <w:sz w:val="32"/>
          <w:szCs w:val="32"/>
        </w:rPr>
        <w:t>4500</w:t>
      </w:r>
      <w:r w:rsidR="00C601FE" w:rsidRPr="00C601FE">
        <w:rPr>
          <w:rFonts w:ascii="仿宋_GB2312" w:eastAsia="仿宋" w:hAnsi="Times New Roman" w:cs="DengXian-Regular" w:hint="eastAsia"/>
          <w:sz w:val="32"/>
          <w:szCs w:val="32"/>
        </w:rPr>
        <w:t>万元</w:t>
      </w:r>
      <w:r w:rsidR="00C601FE" w:rsidRPr="00C601FE">
        <w:rPr>
          <w:rFonts w:ascii="仿宋_GB2312" w:eastAsia="仿宋" w:hAnsi="Times New Roman" w:cs="DengXian-Regular" w:hint="eastAsia"/>
          <w:sz w:val="32"/>
          <w:szCs w:val="32"/>
        </w:rPr>
        <w:t>,</w:t>
      </w:r>
      <w:r w:rsidR="00C601FE" w:rsidRPr="00C601FE">
        <w:rPr>
          <w:rFonts w:ascii="仿宋_GB2312" w:eastAsia="仿宋" w:hAnsi="Times New Roman" w:cs="DengXian-Regular" w:hint="eastAsia"/>
          <w:sz w:val="32"/>
          <w:szCs w:val="32"/>
        </w:rPr>
        <w:t>发热门诊建设经费</w:t>
      </w:r>
      <w:r w:rsidR="00C601FE" w:rsidRPr="00C601FE">
        <w:rPr>
          <w:rFonts w:ascii="仿宋_GB2312" w:eastAsia="仿宋" w:hAnsi="Times New Roman" w:cs="DengXian-Regular" w:hint="eastAsia"/>
          <w:sz w:val="32"/>
          <w:szCs w:val="32"/>
        </w:rPr>
        <w:t>130</w:t>
      </w:r>
      <w:r w:rsidR="00C601FE" w:rsidRPr="00C601FE">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；本年</w:t>
      </w:r>
      <w:r w:rsidRPr="00F05D11">
        <w:rPr>
          <w:rFonts w:ascii="仿宋_GB2312" w:eastAsia="仿宋" w:hAnsi="Times New Roman" w:cs="DengXian-Regular" w:hint="eastAsia"/>
          <w:sz w:val="32"/>
          <w:szCs w:val="32"/>
        </w:rPr>
        <w:t>支出</w:t>
      </w:r>
      <w:r w:rsidR="00100D00" w:rsidRPr="00F05D11">
        <w:rPr>
          <w:rFonts w:ascii="仿宋_GB2312" w:eastAsia="仿宋" w:hAnsi="Times New Roman" w:cs="DengXian-Regular"/>
          <w:sz w:val="32"/>
          <w:szCs w:val="32"/>
        </w:rPr>
        <w:t>8258.38</w:t>
      </w:r>
      <w:r w:rsidRPr="00F05D11">
        <w:rPr>
          <w:rFonts w:ascii="仿宋_GB2312" w:eastAsia="仿宋" w:hAnsi="Times New Roman" w:cs="DengXian-Regular" w:hint="eastAsia"/>
          <w:sz w:val="32"/>
          <w:szCs w:val="32"/>
        </w:rPr>
        <w:t>万元，</w:t>
      </w:r>
      <w:r w:rsidR="004A1033" w:rsidRPr="00F05D11">
        <w:rPr>
          <w:rFonts w:ascii="仿宋_GB2312" w:eastAsia="仿宋" w:hAnsi="Times New Roman" w:cs="DengXian-Regular" w:hint="eastAsia"/>
          <w:sz w:val="32"/>
          <w:szCs w:val="32"/>
        </w:rPr>
        <w:t>比上年</w:t>
      </w:r>
      <w:r w:rsidR="00100D00" w:rsidRPr="00F05D11">
        <w:rPr>
          <w:rFonts w:ascii="仿宋_GB2312" w:eastAsia="仿宋" w:hAnsi="Times New Roman" w:cs="DengXian-Regular"/>
          <w:sz w:val="32"/>
          <w:szCs w:val="32"/>
        </w:rPr>
        <w:t>增加</w:t>
      </w:r>
      <w:r w:rsidR="00100D00" w:rsidRPr="00F05D11">
        <w:rPr>
          <w:rFonts w:ascii="仿宋_GB2312" w:eastAsia="仿宋" w:hAnsi="Times New Roman" w:cs="DengXian-Regular"/>
          <w:sz w:val="32"/>
          <w:szCs w:val="32"/>
        </w:rPr>
        <w:t>1167.57</w:t>
      </w:r>
      <w:r w:rsidRPr="00F05D11">
        <w:rPr>
          <w:rFonts w:ascii="仿宋_GB2312" w:eastAsia="仿宋" w:hAnsi="Times New Roman" w:cs="DengXian-Regular" w:hint="eastAsia"/>
          <w:sz w:val="32"/>
          <w:szCs w:val="32"/>
        </w:rPr>
        <w:t>万元，</w:t>
      </w:r>
      <w:r w:rsidR="00100D00" w:rsidRPr="00F05D11">
        <w:rPr>
          <w:rFonts w:ascii="仿宋_GB2312" w:eastAsia="仿宋" w:hAnsi="Times New Roman" w:cs="DengXian-Regular"/>
          <w:sz w:val="32"/>
          <w:szCs w:val="32"/>
        </w:rPr>
        <w:t>增长</w:t>
      </w:r>
      <w:r w:rsidR="00100D00" w:rsidRPr="00F05D11">
        <w:rPr>
          <w:rFonts w:ascii="仿宋_GB2312" w:eastAsia="仿宋" w:hAnsi="Times New Roman" w:cs="DengXian-Regular"/>
          <w:sz w:val="32"/>
          <w:szCs w:val="32"/>
        </w:rPr>
        <w:t>16.5</w:t>
      </w:r>
      <w:r w:rsidRPr="00F05D11">
        <w:rPr>
          <w:rFonts w:ascii="仿宋_GB2312" w:eastAsia="仿宋" w:hAnsi="Times New Roman" w:cs="DengXian-Regular" w:hint="eastAsia"/>
          <w:sz w:val="32"/>
          <w:szCs w:val="32"/>
        </w:rPr>
        <w:t>%</w:t>
      </w:r>
      <w:r w:rsidRPr="00F05D11">
        <w:rPr>
          <w:rFonts w:ascii="仿宋_GB2312" w:eastAsia="仿宋" w:hAnsi="Times New Roman" w:cs="DengXian-Regular" w:hint="eastAsia"/>
          <w:sz w:val="32"/>
          <w:szCs w:val="32"/>
        </w:rPr>
        <w:t>，主要</w:t>
      </w:r>
      <w:r w:rsidR="008A3227" w:rsidRPr="00F05D11">
        <w:rPr>
          <w:rFonts w:ascii="仿宋_GB2312" w:eastAsia="仿宋" w:hAnsi="Times New Roman" w:cs="DengXian-Regular" w:hint="eastAsia"/>
          <w:sz w:val="32"/>
          <w:szCs w:val="32"/>
        </w:rPr>
        <w:t>原因</w:t>
      </w:r>
      <w:r w:rsidRPr="00F05D11">
        <w:rPr>
          <w:rFonts w:ascii="仿宋_GB2312" w:eastAsia="仿宋" w:hAnsi="Times New Roman" w:cs="DengXian-Regular" w:hint="eastAsia"/>
          <w:sz w:val="32"/>
          <w:szCs w:val="32"/>
        </w:rPr>
        <w:t>是</w:t>
      </w:r>
      <w:r w:rsidR="00BF45DB" w:rsidRPr="00F05D11">
        <w:rPr>
          <w:rFonts w:ascii="仿宋_GB2312" w:eastAsia="仿宋" w:hAnsi="Times New Roman" w:cs="DengXian-Regular" w:hint="eastAsia"/>
          <w:sz w:val="32"/>
          <w:szCs w:val="32"/>
        </w:rPr>
        <w:t>项目拨款增加</w:t>
      </w:r>
      <w:r w:rsidR="00BF45DB" w:rsidRPr="00F05D11">
        <w:rPr>
          <w:rFonts w:ascii="仿宋_GB2312" w:eastAsia="仿宋" w:hAnsi="Times New Roman" w:cs="DengXian-Regular" w:hint="eastAsia"/>
          <w:sz w:val="32"/>
          <w:szCs w:val="32"/>
        </w:rPr>
        <w:t>4974.71</w:t>
      </w:r>
      <w:r w:rsidR="00BF45DB" w:rsidRPr="00F05D11">
        <w:rPr>
          <w:rFonts w:ascii="仿宋_GB2312" w:eastAsia="仿宋" w:hAnsi="Times New Roman" w:cs="DengXian-Regular" w:hint="eastAsia"/>
          <w:sz w:val="32"/>
          <w:szCs w:val="32"/>
        </w:rPr>
        <w:t>万元，为医院医用综合楼项目建设资金</w:t>
      </w:r>
      <w:r w:rsidR="00BF45DB" w:rsidRPr="00F05D11">
        <w:rPr>
          <w:rFonts w:ascii="仿宋_GB2312" w:eastAsia="仿宋" w:hAnsi="Times New Roman" w:cs="DengXian-Regular" w:hint="eastAsia"/>
          <w:sz w:val="32"/>
          <w:szCs w:val="32"/>
        </w:rPr>
        <w:t>45</w:t>
      </w:r>
      <w:r w:rsidR="00BF45DB">
        <w:rPr>
          <w:rFonts w:ascii="仿宋_GB2312" w:eastAsia="仿宋" w:hAnsi="Times New Roman" w:cs="DengXian-Regular" w:hint="eastAsia"/>
          <w:sz w:val="32"/>
          <w:szCs w:val="32"/>
        </w:rPr>
        <w:t>00</w:t>
      </w:r>
      <w:r w:rsidR="00BF45DB">
        <w:rPr>
          <w:rFonts w:ascii="仿宋_GB2312" w:eastAsia="仿宋" w:hAnsi="Times New Roman" w:cs="DengXian-Regular" w:hint="eastAsia"/>
          <w:sz w:val="32"/>
          <w:szCs w:val="32"/>
        </w:rPr>
        <w:t>万元，基本支出较上年增加，主要为人员支出</w:t>
      </w:r>
      <w:r w:rsidRPr="00FD4BAC">
        <w:rPr>
          <w:rFonts w:ascii="仿宋_GB2312" w:eastAsia="仿宋" w:hAnsi="Times New Roman" w:cs="DengXian-Regular" w:hint="eastAsia"/>
          <w:sz w:val="32"/>
          <w:szCs w:val="32"/>
        </w:rPr>
        <w:t>。具体情况如下：</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1.</w:t>
      </w:r>
      <w:r w:rsidRPr="00FD4BAC">
        <w:rPr>
          <w:rFonts w:ascii="仿宋_GB2312" w:eastAsia="仿宋" w:hAnsi="Times New Roman" w:cs="DengXian-Regular" w:hint="eastAsia"/>
          <w:sz w:val="32"/>
          <w:szCs w:val="32"/>
        </w:rPr>
        <w:t>一般公共预算财政拨款本年收入</w:t>
      </w:r>
      <w:r w:rsidR="00100D00">
        <w:rPr>
          <w:rFonts w:ascii="仿宋_GB2312" w:eastAsia="仿宋" w:hAnsi="Times New Roman" w:cs="DengXian-Regular"/>
          <w:sz w:val="32"/>
          <w:szCs w:val="32"/>
        </w:rPr>
        <w:t>8174.18</w:t>
      </w:r>
      <w:r w:rsidRPr="00FD4BAC">
        <w:rPr>
          <w:rFonts w:ascii="仿宋_GB2312" w:eastAsia="仿宋" w:hAnsi="Times New Roman" w:cs="DengXian-Regular" w:hint="eastAsia"/>
          <w:sz w:val="32"/>
          <w:szCs w:val="32"/>
        </w:rPr>
        <w:t>万元，比上年</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4974.71</w:t>
      </w:r>
      <w:r w:rsidRPr="00FD4BAC">
        <w:rPr>
          <w:rFonts w:ascii="仿宋_GB2312" w:eastAsia="仿宋" w:hAnsi="Times New Roman" w:cs="DengXian-Regular" w:hint="eastAsia"/>
          <w:sz w:val="32"/>
          <w:szCs w:val="32"/>
        </w:rPr>
        <w:t>万元</w:t>
      </w:r>
      <w:r w:rsidR="007A3B00" w:rsidRPr="00FD4BAC">
        <w:rPr>
          <w:rFonts w:ascii="仿宋_GB2312" w:eastAsia="仿宋" w:hAnsi="Times New Roman" w:cs="DengXian-Regular" w:hint="eastAsia"/>
          <w:sz w:val="32"/>
          <w:szCs w:val="32"/>
        </w:rPr>
        <w:t>，</w:t>
      </w:r>
      <w:r w:rsidR="00100D00">
        <w:rPr>
          <w:rFonts w:ascii="仿宋_GB2312" w:eastAsia="仿宋" w:hAnsi="Times New Roman" w:cs="DengXian-Regular"/>
          <w:sz w:val="32"/>
          <w:szCs w:val="32"/>
        </w:rPr>
        <w:t>增长</w:t>
      </w:r>
      <w:r w:rsidR="00100D00">
        <w:rPr>
          <w:rFonts w:ascii="仿宋_GB2312" w:eastAsia="仿宋" w:hAnsi="Times New Roman" w:cs="DengXian-Regular"/>
          <w:sz w:val="32"/>
          <w:szCs w:val="32"/>
        </w:rPr>
        <w:t>155.5</w:t>
      </w:r>
      <w:r w:rsidR="007A3B00"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BF45DB">
        <w:rPr>
          <w:rFonts w:ascii="仿宋_GB2312" w:eastAsia="仿宋" w:hAnsi="Times New Roman" w:cs="DengXian-Regular" w:hint="eastAsia"/>
          <w:sz w:val="32"/>
          <w:szCs w:val="32"/>
        </w:rPr>
        <w:t>主要</w:t>
      </w:r>
      <w:r w:rsidR="008A3227" w:rsidRPr="00BF45DB">
        <w:rPr>
          <w:rFonts w:ascii="仿宋_GB2312" w:eastAsia="仿宋" w:hAnsi="Times New Roman" w:cs="DengXian-Regular" w:hint="eastAsia"/>
          <w:sz w:val="32"/>
          <w:szCs w:val="32"/>
        </w:rPr>
        <w:t>原因</w:t>
      </w:r>
      <w:r w:rsidRPr="00BF45DB">
        <w:rPr>
          <w:rFonts w:ascii="仿宋_GB2312" w:eastAsia="仿宋" w:hAnsi="Times New Roman" w:cs="DengXian-Regular" w:hint="eastAsia"/>
          <w:sz w:val="32"/>
          <w:szCs w:val="32"/>
        </w:rPr>
        <w:t>是</w:t>
      </w:r>
      <w:r w:rsidR="00BF45DB" w:rsidRPr="00C601FE">
        <w:rPr>
          <w:rFonts w:ascii="仿宋_GB2312" w:eastAsia="仿宋" w:hAnsi="Times New Roman" w:cs="DengXian-Regular" w:hint="eastAsia"/>
          <w:sz w:val="32"/>
          <w:szCs w:val="32"/>
        </w:rPr>
        <w:t>项目拨款</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其中基本建设拨款</w:t>
      </w:r>
      <w:r w:rsidR="00BF45DB" w:rsidRPr="00C601FE">
        <w:rPr>
          <w:rFonts w:ascii="仿宋_GB2312" w:eastAsia="仿宋" w:hAnsi="Times New Roman" w:cs="DengXian-Regular" w:hint="eastAsia"/>
          <w:sz w:val="32"/>
          <w:szCs w:val="32"/>
        </w:rPr>
        <w:t>4630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分别为医用综合楼项目</w:t>
      </w:r>
      <w:r w:rsidR="00BF45DB" w:rsidRPr="00C601FE">
        <w:rPr>
          <w:rFonts w:ascii="仿宋_GB2312" w:eastAsia="仿宋" w:hAnsi="Times New Roman" w:cs="DengXian-Regular" w:hint="eastAsia"/>
          <w:sz w:val="32"/>
          <w:szCs w:val="32"/>
        </w:rPr>
        <w:t>4500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发热门诊建设经费</w:t>
      </w:r>
      <w:r w:rsidR="00BF45DB" w:rsidRPr="00C601FE">
        <w:rPr>
          <w:rFonts w:ascii="仿宋_GB2312" w:eastAsia="仿宋" w:hAnsi="Times New Roman" w:cs="DengXian-Regular" w:hint="eastAsia"/>
          <w:sz w:val="32"/>
          <w:szCs w:val="32"/>
        </w:rPr>
        <w:t>130</w:t>
      </w:r>
      <w:r w:rsidR="00BF45DB" w:rsidRPr="00C601FE">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；本年支出</w:t>
      </w:r>
      <w:r w:rsidR="00100D00">
        <w:rPr>
          <w:rFonts w:ascii="仿宋_GB2312" w:eastAsia="仿宋" w:hAnsi="Times New Roman" w:cs="DengXian-Regular"/>
          <w:sz w:val="32"/>
          <w:szCs w:val="32"/>
        </w:rPr>
        <w:t>8258.38</w:t>
      </w:r>
      <w:r w:rsidRPr="00FD4BAC">
        <w:rPr>
          <w:rFonts w:ascii="仿宋_GB2312" w:eastAsia="仿宋" w:hAnsi="Times New Roman" w:cs="DengXian-Regular" w:hint="eastAsia"/>
          <w:sz w:val="32"/>
          <w:szCs w:val="32"/>
        </w:rPr>
        <w:t>万元，比上年</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4467.57</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sz w:val="32"/>
          <w:szCs w:val="32"/>
        </w:rPr>
        <w:t>增长</w:t>
      </w:r>
      <w:r w:rsidR="00100D00">
        <w:rPr>
          <w:rFonts w:ascii="仿宋_GB2312" w:eastAsia="仿宋" w:hAnsi="Times New Roman" w:cs="DengXian-Regular"/>
          <w:sz w:val="32"/>
          <w:szCs w:val="32"/>
        </w:rPr>
        <w:t>117.9</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BF45DB">
        <w:rPr>
          <w:rFonts w:ascii="仿宋_GB2312" w:eastAsia="仿宋" w:hAnsi="Times New Roman" w:cs="DengXian-Regular" w:hint="eastAsia"/>
          <w:sz w:val="32"/>
          <w:szCs w:val="32"/>
        </w:rPr>
        <w:t>主要</w:t>
      </w:r>
      <w:r w:rsidR="008A3227" w:rsidRPr="00BF45DB">
        <w:rPr>
          <w:rFonts w:ascii="仿宋_GB2312" w:eastAsia="仿宋" w:hAnsi="Times New Roman" w:cs="DengXian-Regular" w:hint="eastAsia"/>
          <w:sz w:val="32"/>
          <w:szCs w:val="32"/>
        </w:rPr>
        <w:t>原因</w:t>
      </w:r>
      <w:r w:rsidRPr="00BF45DB">
        <w:rPr>
          <w:rFonts w:ascii="仿宋_GB2312" w:eastAsia="仿宋" w:hAnsi="Times New Roman" w:cs="DengXian-Regular" w:hint="eastAsia"/>
          <w:sz w:val="32"/>
          <w:szCs w:val="32"/>
        </w:rPr>
        <w:t>是</w:t>
      </w:r>
      <w:r w:rsidR="00BF45DB">
        <w:rPr>
          <w:rFonts w:ascii="仿宋_GB2312" w:eastAsia="仿宋" w:hAnsi="Times New Roman" w:cs="DengXian-Regular" w:hint="eastAsia"/>
          <w:sz w:val="32"/>
          <w:szCs w:val="32"/>
        </w:rPr>
        <w:t>医院医用综合楼项目资金</w:t>
      </w:r>
      <w:r w:rsidR="00BF45DB">
        <w:rPr>
          <w:rFonts w:ascii="仿宋_GB2312" w:eastAsia="仿宋" w:hAnsi="Times New Roman" w:cs="DengXian-Regular" w:hint="eastAsia"/>
          <w:sz w:val="32"/>
          <w:szCs w:val="32"/>
        </w:rPr>
        <w:t>4500</w:t>
      </w:r>
      <w:r w:rsidR="00BF45DB">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w:t>
      </w:r>
      <w:r w:rsidRPr="00FD4BAC">
        <w:rPr>
          <w:rFonts w:ascii="仿宋_GB2312" w:eastAsia="仿宋" w:hAnsi="Times New Roman" w:cs="DengXian-Regular" w:hint="eastAsia"/>
          <w:sz w:val="32"/>
          <w:szCs w:val="32"/>
        </w:rPr>
        <w:t>政府性基金预算财政拨款本年收入</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万元，比上年</w:t>
      </w:r>
      <w:r w:rsidR="00100D00">
        <w:rPr>
          <w:rFonts w:ascii="仿宋_GB2312" w:eastAsia="仿宋" w:hAnsi="Times New Roman" w:cs="DengXian-Regular"/>
          <w:sz w:val="32"/>
          <w:szCs w:val="32"/>
        </w:rPr>
        <w:t>减少</w:t>
      </w:r>
      <w:r w:rsidR="00100D00">
        <w:rPr>
          <w:rFonts w:ascii="仿宋_GB2312" w:eastAsia="仿宋" w:hAnsi="Times New Roman" w:cs="DengXian-Regular"/>
          <w:sz w:val="32"/>
          <w:szCs w:val="32"/>
        </w:rPr>
        <w:t>3300.00</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sz w:val="32"/>
          <w:szCs w:val="32"/>
        </w:rPr>
        <w:t>降低</w:t>
      </w:r>
      <w:r w:rsidR="00100D00">
        <w:rPr>
          <w:rFonts w:ascii="仿宋_GB2312" w:eastAsia="仿宋" w:hAnsi="Times New Roman" w:cs="DengXian-Regular"/>
          <w:sz w:val="32"/>
          <w:szCs w:val="32"/>
        </w:rPr>
        <w:t>100.0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w:t>
      </w:r>
      <w:r w:rsidRPr="00BF45DB">
        <w:rPr>
          <w:rFonts w:ascii="仿宋_GB2312" w:eastAsia="仿宋" w:hAnsi="Times New Roman" w:cs="DengXian-Regular" w:hint="eastAsia"/>
          <w:sz w:val="32"/>
          <w:szCs w:val="32"/>
        </w:rPr>
        <w:t>主要</w:t>
      </w:r>
      <w:r w:rsidR="008A3227" w:rsidRPr="00BF45DB">
        <w:rPr>
          <w:rFonts w:ascii="仿宋_GB2312" w:eastAsia="仿宋" w:hAnsi="Times New Roman" w:cs="DengXian-Regular" w:hint="eastAsia"/>
          <w:sz w:val="32"/>
          <w:szCs w:val="32"/>
        </w:rPr>
        <w:t>原因</w:t>
      </w:r>
      <w:r w:rsidRPr="00BF45DB">
        <w:rPr>
          <w:rFonts w:ascii="仿宋_GB2312" w:eastAsia="仿宋" w:hAnsi="Times New Roman" w:cs="DengXian-Regular" w:hint="eastAsia"/>
          <w:sz w:val="32"/>
          <w:szCs w:val="32"/>
        </w:rPr>
        <w:t>是</w:t>
      </w:r>
      <w:r w:rsidR="00BF45DB" w:rsidRPr="00BF45DB">
        <w:rPr>
          <w:rFonts w:ascii="仿宋_GB2312" w:eastAsia="仿宋" w:hAnsi="Times New Roman" w:cs="DengXian-Regular" w:hint="eastAsia"/>
          <w:sz w:val="32"/>
          <w:szCs w:val="32"/>
        </w:rPr>
        <w:t>2020</w:t>
      </w:r>
      <w:r w:rsidR="00BF45DB" w:rsidRPr="00BF45DB">
        <w:rPr>
          <w:rFonts w:ascii="仿宋_GB2312" w:eastAsia="仿宋" w:hAnsi="Times New Roman" w:cs="DengXian-Regular" w:hint="eastAsia"/>
          <w:sz w:val="32"/>
          <w:szCs w:val="32"/>
        </w:rPr>
        <w:t>年度医院申请新增债券资金</w:t>
      </w:r>
      <w:r w:rsidR="00BF45DB" w:rsidRPr="00BF45DB">
        <w:rPr>
          <w:rFonts w:ascii="仿宋_GB2312" w:eastAsia="仿宋" w:hAnsi="Times New Roman" w:cs="DengXian-Regular" w:hint="eastAsia"/>
          <w:sz w:val="32"/>
          <w:szCs w:val="32"/>
        </w:rPr>
        <w:t>3300</w:t>
      </w:r>
      <w:r w:rsidR="00BF45DB" w:rsidRPr="00BF45DB">
        <w:rPr>
          <w:rFonts w:ascii="仿宋_GB2312" w:eastAsia="仿宋" w:hAnsi="Times New Roman" w:cs="DengXian-Regular" w:hint="eastAsia"/>
          <w:sz w:val="32"/>
          <w:szCs w:val="32"/>
        </w:rPr>
        <w:t>万元用于医用综合楼项目建设，本年度没有此类资金</w:t>
      </w:r>
      <w:r w:rsidRPr="00BF45DB">
        <w:rPr>
          <w:rFonts w:ascii="仿宋_GB2312" w:eastAsia="仿宋" w:hAnsi="Times New Roman" w:cs="DengXian-Regular" w:hint="eastAsia"/>
          <w:sz w:val="32"/>
          <w:szCs w:val="32"/>
        </w:rPr>
        <w:t>；本年支出</w:t>
      </w:r>
      <w:r w:rsidR="00100D00" w:rsidRPr="00BF45DB">
        <w:rPr>
          <w:rFonts w:ascii="仿宋_GB2312" w:eastAsia="仿宋" w:hAnsi="Times New Roman" w:cs="DengXian-Regular"/>
          <w:sz w:val="32"/>
          <w:szCs w:val="32"/>
        </w:rPr>
        <w:t>0.00</w:t>
      </w:r>
      <w:r w:rsidRPr="00BF45DB">
        <w:rPr>
          <w:rFonts w:ascii="仿宋_GB2312" w:eastAsia="仿宋" w:hAnsi="Times New Roman" w:cs="DengXian-Regular" w:hint="eastAsia"/>
          <w:sz w:val="32"/>
          <w:szCs w:val="32"/>
        </w:rPr>
        <w:t>万元，比上年</w:t>
      </w:r>
      <w:r w:rsidR="00100D00" w:rsidRPr="00BF45DB">
        <w:rPr>
          <w:rFonts w:ascii="仿宋_GB2312" w:eastAsia="仿宋" w:hAnsi="Times New Roman" w:cs="DengXian-Regular"/>
          <w:sz w:val="32"/>
          <w:szCs w:val="32"/>
        </w:rPr>
        <w:t>减少</w:t>
      </w:r>
      <w:r w:rsidR="00100D00" w:rsidRPr="00BF45DB">
        <w:rPr>
          <w:rFonts w:ascii="仿宋_GB2312" w:eastAsia="仿宋" w:hAnsi="Times New Roman" w:cs="DengXian-Regular"/>
          <w:sz w:val="32"/>
          <w:szCs w:val="32"/>
        </w:rPr>
        <w:t>3300.00</w:t>
      </w:r>
      <w:r w:rsidRPr="00BF45DB">
        <w:rPr>
          <w:rFonts w:ascii="仿宋_GB2312" w:eastAsia="仿宋" w:hAnsi="Times New Roman" w:cs="DengXian-Regular" w:hint="eastAsia"/>
          <w:sz w:val="32"/>
          <w:szCs w:val="32"/>
        </w:rPr>
        <w:t>万元，</w:t>
      </w:r>
      <w:r w:rsidR="00100D00" w:rsidRPr="00BF45DB">
        <w:rPr>
          <w:rFonts w:ascii="仿宋_GB2312" w:eastAsia="仿宋" w:hAnsi="Times New Roman" w:cs="DengXian-Regular"/>
          <w:sz w:val="32"/>
          <w:szCs w:val="32"/>
        </w:rPr>
        <w:t>降低</w:t>
      </w:r>
      <w:r w:rsidR="00100D00" w:rsidRPr="00BF45DB">
        <w:rPr>
          <w:rFonts w:ascii="仿宋_GB2312" w:eastAsia="仿宋" w:hAnsi="Times New Roman" w:cs="DengXian-Regular"/>
          <w:sz w:val="32"/>
          <w:szCs w:val="32"/>
        </w:rPr>
        <w:t>100.0</w:t>
      </w:r>
      <w:r w:rsidRPr="00BF45DB">
        <w:rPr>
          <w:rFonts w:ascii="仿宋_GB2312" w:eastAsia="仿宋" w:hAnsi="Times New Roman" w:cs="DengXian-Regular" w:hint="eastAsia"/>
          <w:sz w:val="32"/>
          <w:szCs w:val="32"/>
        </w:rPr>
        <w:t>%</w:t>
      </w:r>
      <w:r w:rsidRPr="00BF45DB">
        <w:rPr>
          <w:rFonts w:ascii="仿宋_GB2312" w:eastAsia="仿宋" w:hAnsi="Times New Roman" w:cs="DengXian-Regular" w:hint="eastAsia"/>
          <w:sz w:val="32"/>
          <w:szCs w:val="32"/>
        </w:rPr>
        <w:t>，主要</w:t>
      </w:r>
      <w:r w:rsidR="008A3227" w:rsidRPr="00BF45DB">
        <w:rPr>
          <w:rFonts w:ascii="仿宋_GB2312" w:eastAsia="仿宋" w:hAnsi="Times New Roman" w:cs="DengXian-Regular" w:hint="eastAsia"/>
          <w:sz w:val="32"/>
          <w:szCs w:val="32"/>
        </w:rPr>
        <w:t>原因</w:t>
      </w:r>
      <w:r w:rsidRPr="00BF45DB">
        <w:rPr>
          <w:rFonts w:ascii="仿宋_GB2312" w:eastAsia="仿宋" w:hAnsi="Times New Roman" w:cs="DengXian-Regular" w:hint="eastAsia"/>
          <w:sz w:val="32"/>
          <w:szCs w:val="32"/>
        </w:rPr>
        <w:t>是</w:t>
      </w:r>
      <w:r w:rsidR="00BF45DB" w:rsidRPr="00BF45DB">
        <w:rPr>
          <w:rFonts w:ascii="仿宋_GB2312" w:eastAsia="仿宋" w:hAnsi="Times New Roman" w:cs="DengXian-Regular" w:hint="eastAsia"/>
          <w:sz w:val="32"/>
          <w:szCs w:val="32"/>
        </w:rPr>
        <w:t>2020</w:t>
      </w:r>
      <w:r w:rsidR="00BF45DB" w:rsidRPr="00BF45DB">
        <w:rPr>
          <w:rFonts w:ascii="仿宋_GB2312" w:eastAsia="仿宋" w:hAnsi="Times New Roman" w:cs="DengXian-Regular" w:hint="eastAsia"/>
          <w:sz w:val="32"/>
          <w:szCs w:val="32"/>
        </w:rPr>
        <w:t>年度医院申请新增债券资金</w:t>
      </w:r>
      <w:r w:rsidR="00BF45DB" w:rsidRPr="00BF45DB">
        <w:rPr>
          <w:rFonts w:ascii="仿宋_GB2312" w:eastAsia="仿宋" w:hAnsi="Times New Roman" w:cs="DengXian-Regular" w:hint="eastAsia"/>
          <w:sz w:val="32"/>
          <w:szCs w:val="32"/>
        </w:rPr>
        <w:t>3300</w:t>
      </w:r>
      <w:r w:rsidR="00BF45DB" w:rsidRPr="00BF45DB">
        <w:rPr>
          <w:rFonts w:ascii="仿宋_GB2312" w:eastAsia="仿宋" w:hAnsi="Times New Roman" w:cs="DengXian-Regular" w:hint="eastAsia"/>
          <w:sz w:val="32"/>
          <w:szCs w:val="32"/>
        </w:rPr>
        <w:t>万元用于医用综合楼项目建设，本年</w:t>
      </w:r>
      <w:r w:rsidR="00BF45DB">
        <w:rPr>
          <w:rFonts w:ascii="仿宋_GB2312" w:eastAsia="仿宋" w:hAnsi="Times New Roman" w:cs="DengXian-Regular" w:hint="eastAsia"/>
          <w:sz w:val="32"/>
          <w:szCs w:val="32"/>
        </w:rPr>
        <w:t>度没有此类资金</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3.</w:t>
      </w:r>
      <w:r w:rsidRPr="00FD4BAC">
        <w:rPr>
          <w:rFonts w:ascii="仿宋_GB2312" w:eastAsia="仿宋" w:hAnsi="Times New Roman" w:cs="DengXian-Regular" w:hint="eastAsia"/>
          <w:sz w:val="32"/>
          <w:szCs w:val="32"/>
        </w:rPr>
        <w:t>国有资本经营预算财政拨款本年收入</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；本年支出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00100D00">
        <w:rPr>
          <w:rFonts w:ascii="仿宋_GB2312" w:eastAsia="仿宋" w:hAnsi="Times New Roman" w:cs="DengXian-Regular" w:hint="eastAsia"/>
          <w:sz w:val="32"/>
          <w:szCs w:val="32"/>
        </w:rPr>
        <w:t>与上年持平</w:t>
      </w:r>
      <w:r w:rsidRPr="00FD4BAC">
        <w:rPr>
          <w:rFonts w:ascii="仿宋_GB2312" w:eastAsia="仿宋" w:hAnsi="Times New Roman"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tblGrid>
      <w:tr w:rsidR="004779DD" w:rsidTr="008A3227">
        <w:trPr>
          <w:trHeight w:val="5377"/>
        </w:trPr>
        <w:tc>
          <w:tcPr>
            <w:tcW w:w="7825" w:type="dxa"/>
            <w:vAlign w:val="bottom"/>
          </w:tcPr>
          <w:p w:rsidR="004779DD" w:rsidRPr="00FD4BAC" w:rsidRDefault="00100D00" w:rsidP="004779DD">
            <w:pPr>
              <w:adjustRightInd w:val="0"/>
              <w:snapToGrid w:val="0"/>
              <w:spacing w:line="580" w:lineRule="exact"/>
              <w:jc w:val="center"/>
              <w:rPr>
                <w:rFonts w:ascii="仿宋_GB2312" w:eastAsia="仿宋" w:hAnsi="Times New Roman" w:cs="DengXian-Regular"/>
                <w:sz w:val="32"/>
                <w:szCs w:val="32"/>
                <w:highlight w:val="yellow"/>
              </w:rPr>
            </w:pPr>
            <w:r w:rsidRPr="00100D00">
              <w:rPr>
                <w:rFonts w:ascii="仿宋_GB2312" w:eastAsia="仿宋" w:hAnsi="Times New Roman" w:cs="DengXian-Regular" w:hint="eastAsia"/>
                <w:noProof/>
                <w:sz w:val="32"/>
                <w:szCs w:val="32"/>
                <w:highlight w:val="yellow"/>
              </w:rPr>
              <w:lastRenderedPageBreak/>
              <w:drawing>
                <wp:anchor distT="0" distB="0" distL="114300" distR="114300" simplePos="0" relativeHeight="251677184"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2962275"/>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年度财政拨款本年收入</w:t>
      </w:r>
      <w:r w:rsidR="00100D00">
        <w:rPr>
          <w:rFonts w:ascii="仿宋_GB2312" w:eastAsia="仿宋" w:hAnsi="Times New Roman" w:cs="DengXian-Regular"/>
          <w:sz w:val="32"/>
          <w:szCs w:val="32"/>
        </w:rPr>
        <w:t>8174.18</w:t>
      </w:r>
      <w:r w:rsidRPr="00FD4BAC">
        <w:rPr>
          <w:rFonts w:ascii="仿宋_GB2312" w:eastAsia="仿宋" w:hAnsi="Times New Roman" w:cs="DengXian-Regular" w:hint="eastAsia"/>
          <w:sz w:val="32"/>
          <w:szCs w:val="32"/>
        </w:rPr>
        <w:t>万元，完成年初预算的</w:t>
      </w:r>
      <w:r w:rsidR="00100D00">
        <w:rPr>
          <w:rFonts w:ascii="仿宋_GB2312" w:eastAsia="仿宋" w:hAnsi="Times New Roman" w:cs="DengXian-Regular"/>
          <w:sz w:val="32"/>
          <w:szCs w:val="32"/>
        </w:rPr>
        <w:t>538.0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6654.87</w:t>
      </w:r>
      <w:r w:rsidRPr="00FD4BAC">
        <w:rPr>
          <w:rFonts w:ascii="仿宋_GB2312" w:eastAsia="仿宋" w:hAnsi="Times New Roman" w:cs="DengXian-Regular" w:hint="eastAsia"/>
          <w:sz w:val="32"/>
          <w:szCs w:val="32"/>
        </w:rPr>
        <w:t>万元，决算数</w:t>
      </w:r>
      <w:r w:rsidR="00100D00">
        <w:rPr>
          <w:rFonts w:ascii="仿宋_GB2312" w:eastAsia="仿宋" w:hAnsi="Times New Roman" w:cs="DengXian-Regular"/>
          <w:sz w:val="32"/>
          <w:szCs w:val="32"/>
        </w:rPr>
        <w:t>大于</w:t>
      </w:r>
      <w:r w:rsidRPr="00FD4BAC">
        <w:rPr>
          <w:rFonts w:ascii="仿宋_GB2312" w:eastAsia="仿宋" w:hAnsi="Times New Roman" w:cs="DengXian-Regular" w:hint="eastAsia"/>
          <w:sz w:val="32"/>
          <w:szCs w:val="32"/>
        </w:rPr>
        <w:t>预算数</w:t>
      </w:r>
      <w:r w:rsidRPr="00BF45DB">
        <w:rPr>
          <w:rFonts w:ascii="仿宋_GB2312" w:eastAsia="仿宋" w:hAnsi="Times New Roman" w:cs="DengXian-Regular" w:hint="eastAsia"/>
          <w:sz w:val="32"/>
          <w:szCs w:val="32"/>
        </w:rPr>
        <w:t>主要原因是</w:t>
      </w:r>
      <w:r w:rsidR="00BF45DB" w:rsidRPr="00C601FE">
        <w:rPr>
          <w:rFonts w:ascii="仿宋_GB2312" w:eastAsia="仿宋" w:hAnsi="Times New Roman" w:cs="DengXian-Regular" w:hint="eastAsia"/>
          <w:sz w:val="32"/>
          <w:szCs w:val="32"/>
        </w:rPr>
        <w:t>基本建设拨款</w:t>
      </w:r>
      <w:r w:rsidR="00BF45DB" w:rsidRPr="00C601FE">
        <w:rPr>
          <w:rFonts w:ascii="仿宋_GB2312" w:eastAsia="仿宋" w:hAnsi="Times New Roman" w:cs="DengXian-Regular" w:hint="eastAsia"/>
          <w:sz w:val="32"/>
          <w:szCs w:val="32"/>
        </w:rPr>
        <w:t>4630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分别为医用综合楼项目</w:t>
      </w:r>
      <w:r w:rsidR="00BF45DB" w:rsidRPr="00C601FE">
        <w:rPr>
          <w:rFonts w:ascii="仿宋_GB2312" w:eastAsia="仿宋" w:hAnsi="Times New Roman" w:cs="DengXian-Regular" w:hint="eastAsia"/>
          <w:sz w:val="32"/>
          <w:szCs w:val="32"/>
        </w:rPr>
        <w:t>4500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发热门诊建设经费</w:t>
      </w:r>
      <w:r w:rsidR="00BF45DB" w:rsidRPr="00C601FE">
        <w:rPr>
          <w:rFonts w:ascii="仿宋_GB2312" w:eastAsia="仿宋" w:hAnsi="Times New Roman" w:cs="DengXian-Regular" w:hint="eastAsia"/>
          <w:sz w:val="32"/>
          <w:szCs w:val="32"/>
        </w:rPr>
        <w:t>130</w:t>
      </w:r>
      <w:r w:rsidR="00BF45DB" w:rsidRPr="00C601FE">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；本年支出</w:t>
      </w:r>
      <w:r w:rsidR="00100D00">
        <w:rPr>
          <w:rFonts w:ascii="仿宋_GB2312" w:eastAsia="仿宋" w:hAnsi="Times New Roman" w:cs="DengXian-Regular"/>
          <w:sz w:val="32"/>
          <w:szCs w:val="32"/>
        </w:rPr>
        <w:t>8258.38</w:t>
      </w:r>
      <w:r w:rsidRPr="00FD4BAC">
        <w:rPr>
          <w:rFonts w:ascii="仿宋_GB2312" w:eastAsia="仿宋" w:hAnsi="Times New Roman" w:cs="DengXian-Regular" w:hint="eastAsia"/>
          <w:sz w:val="32"/>
          <w:szCs w:val="32"/>
        </w:rPr>
        <w:t>万元，完成年初预算的</w:t>
      </w:r>
      <w:r w:rsidR="00100D00">
        <w:rPr>
          <w:rFonts w:ascii="仿宋_GB2312" w:eastAsia="仿宋" w:hAnsi="Times New Roman" w:cs="DengXian-Regular"/>
          <w:sz w:val="32"/>
          <w:szCs w:val="32"/>
        </w:rPr>
        <w:t>543.6</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6739.07</w:t>
      </w:r>
      <w:r w:rsidRPr="00FD4BAC">
        <w:rPr>
          <w:rFonts w:ascii="仿宋_GB2312" w:eastAsia="仿宋" w:hAnsi="Times New Roman" w:cs="DengXian-Regular" w:hint="eastAsia"/>
          <w:sz w:val="32"/>
          <w:szCs w:val="32"/>
        </w:rPr>
        <w:t>万元，决算数</w:t>
      </w:r>
      <w:r w:rsidR="00100D00">
        <w:rPr>
          <w:rFonts w:ascii="仿宋_GB2312" w:eastAsia="仿宋" w:hAnsi="Times New Roman" w:cs="DengXian-Regular"/>
          <w:sz w:val="32"/>
          <w:szCs w:val="32"/>
        </w:rPr>
        <w:t>大于</w:t>
      </w:r>
      <w:r w:rsidRPr="00FD4BAC">
        <w:rPr>
          <w:rFonts w:ascii="仿宋_GB2312" w:eastAsia="仿宋" w:hAnsi="Times New Roman" w:cs="DengXian-Regular" w:hint="eastAsia"/>
          <w:sz w:val="32"/>
          <w:szCs w:val="32"/>
        </w:rPr>
        <w:t>预算数主要原因是</w:t>
      </w:r>
      <w:r w:rsidR="00BF45DB" w:rsidRPr="00C601FE">
        <w:rPr>
          <w:rFonts w:ascii="仿宋_GB2312" w:eastAsia="仿宋" w:hAnsi="Times New Roman" w:cs="DengXian-Regular" w:hint="eastAsia"/>
          <w:sz w:val="32"/>
          <w:szCs w:val="32"/>
        </w:rPr>
        <w:t>基本建设拨款</w:t>
      </w:r>
      <w:r w:rsidR="00BF45DB" w:rsidRPr="00C601FE">
        <w:rPr>
          <w:rFonts w:ascii="仿宋_GB2312" w:eastAsia="仿宋" w:hAnsi="Times New Roman" w:cs="DengXian-Regular" w:hint="eastAsia"/>
          <w:sz w:val="32"/>
          <w:szCs w:val="32"/>
        </w:rPr>
        <w:t>4630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分别为医用综合楼项目</w:t>
      </w:r>
      <w:r w:rsidR="00BF45DB" w:rsidRPr="00C601FE">
        <w:rPr>
          <w:rFonts w:ascii="仿宋_GB2312" w:eastAsia="仿宋" w:hAnsi="Times New Roman" w:cs="DengXian-Regular" w:hint="eastAsia"/>
          <w:sz w:val="32"/>
          <w:szCs w:val="32"/>
        </w:rPr>
        <w:t>4500</w:t>
      </w:r>
      <w:r w:rsidR="00BF45DB" w:rsidRPr="00C601FE">
        <w:rPr>
          <w:rFonts w:ascii="仿宋_GB2312" w:eastAsia="仿宋" w:hAnsi="Times New Roman" w:cs="DengXian-Regular" w:hint="eastAsia"/>
          <w:sz w:val="32"/>
          <w:szCs w:val="32"/>
        </w:rPr>
        <w:t>万元</w:t>
      </w:r>
      <w:r w:rsidR="00BF45DB" w:rsidRPr="00C601FE">
        <w:rPr>
          <w:rFonts w:ascii="仿宋_GB2312" w:eastAsia="仿宋" w:hAnsi="Times New Roman" w:cs="DengXian-Regular" w:hint="eastAsia"/>
          <w:sz w:val="32"/>
          <w:szCs w:val="32"/>
        </w:rPr>
        <w:t>,</w:t>
      </w:r>
      <w:r w:rsidR="00BF45DB" w:rsidRPr="00C601FE">
        <w:rPr>
          <w:rFonts w:ascii="仿宋_GB2312" w:eastAsia="仿宋" w:hAnsi="Times New Roman" w:cs="DengXian-Regular" w:hint="eastAsia"/>
          <w:sz w:val="32"/>
          <w:szCs w:val="32"/>
        </w:rPr>
        <w:t>发热门诊建设经费</w:t>
      </w:r>
      <w:r w:rsidR="00BF45DB" w:rsidRPr="00C601FE">
        <w:rPr>
          <w:rFonts w:ascii="仿宋_GB2312" w:eastAsia="仿宋" w:hAnsi="Times New Roman" w:cs="DengXian-Regular" w:hint="eastAsia"/>
          <w:sz w:val="32"/>
          <w:szCs w:val="32"/>
        </w:rPr>
        <w:t>130</w:t>
      </w:r>
      <w:r w:rsidR="00BF45DB" w:rsidRPr="00C601FE">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。具体情况如下：</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1.</w:t>
      </w:r>
      <w:r w:rsidRPr="00FD4BAC">
        <w:rPr>
          <w:rFonts w:ascii="仿宋_GB2312" w:eastAsia="仿宋" w:hAnsi="Times New Roman" w:cs="DengXian-Regular" w:hint="eastAsia"/>
          <w:sz w:val="32"/>
          <w:szCs w:val="32"/>
        </w:rPr>
        <w:t>一般公共预算财政拨款本年收入完成年初预算</w:t>
      </w:r>
      <w:r w:rsidR="00100D00">
        <w:rPr>
          <w:rFonts w:ascii="仿宋_GB2312" w:eastAsia="仿宋" w:hAnsi="Times New Roman" w:cs="DengXian-Regular"/>
          <w:sz w:val="32"/>
          <w:szCs w:val="32"/>
        </w:rPr>
        <w:t>538.0</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，比年初预算</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6654.87</w:t>
      </w:r>
      <w:r w:rsidRPr="00FD4BAC">
        <w:rPr>
          <w:rFonts w:ascii="仿宋_GB2312" w:eastAsia="仿宋" w:hAnsi="Times New Roman" w:cs="DengXian-Regular" w:hint="eastAsia"/>
          <w:sz w:val="32"/>
          <w:szCs w:val="32"/>
        </w:rPr>
        <w:t>万元，</w:t>
      </w:r>
      <w:r w:rsidRPr="00712122">
        <w:rPr>
          <w:rFonts w:ascii="仿宋_GB2312" w:eastAsia="仿宋" w:hAnsi="Times New Roman" w:cs="DengXian-Regular" w:hint="eastAsia"/>
          <w:sz w:val="32"/>
          <w:szCs w:val="32"/>
        </w:rPr>
        <w:t>主要是</w:t>
      </w:r>
      <w:r w:rsidR="00712122" w:rsidRPr="00712122">
        <w:rPr>
          <w:rFonts w:ascii="仿宋_GB2312" w:eastAsia="仿宋" w:hAnsi="Times New Roman" w:cs="DengXian-Regular" w:hint="eastAsia"/>
          <w:sz w:val="32"/>
          <w:szCs w:val="32"/>
        </w:rPr>
        <w:t>基本建设拨款</w:t>
      </w:r>
      <w:r w:rsidR="00712122" w:rsidRPr="00712122">
        <w:rPr>
          <w:rFonts w:ascii="仿宋_GB2312" w:eastAsia="仿宋" w:hAnsi="Times New Roman" w:cs="DengXian-Regular" w:hint="eastAsia"/>
          <w:sz w:val="32"/>
          <w:szCs w:val="32"/>
        </w:rPr>
        <w:t>4630</w:t>
      </w:r>
      <w:r w:rsidR="00712122" w:rsidRPr="00712122">
        <w:rPr>
          <w:rFonts w:ascii="仿宋_GB2312" w:eastAsia="仿宋" w:hAnsi="Times New Roman" w:cs="DengXian-Regular" w:hint="eastAsia"/>
          <w:sz w:val="32"/>
          <w:szCs w:val="32"/>
        </w:rPr>
        <w:t>万元</w:t>
      </w:r>
      <w:r w:rsidR="00712122" w:rsidRPr="00712122">
        <w:rPr>
          <w:rFonts w:ascii="仿宋_GB2312" w:eastAsia="仿宋" w:hAnsi="Times New Roman" w:cs="DengXian-Regular" w:hint="eastAsia"/>
          <w:sz w:val="32"/>
          <w:szCs w:val="32"/>
        </w:rPr>
        <w:t>,</w:t>
      </w:r>
      <w:r w:rsidR="00712122" w:rsidRPr="00712122">
        <w:rPr>
          <w:rFonts w:ascii="仿宋_GB2312" w:eastAsia="仿宋" w:hAnsi="Times New Roman" w:cs="DengXian-Regular" w:hint="eastAsia"/>
          <w:sz w:val="32"/>
          <w:szCs w:val="32"/>
        </w:rPr>
        <w:t>分别为医用综合楼项目</w:t>
      </w:r>
      <w:r w:rsidR="00712122" w:rsidRPr="00712122">
        <w:rPr>
          <w:rFonts w:ascii="仿宋_GB2312" w:eastAsia="仿宋" w:hAnsi="Times New Roman" w:cs="DengXian-Regular" w:hint="eastAsia"/>
          <w:sz w:val="32"/>
          <w:szCs w:val="32"/>
        </w:rPr>
        <w:t>4500</w:t>
      </w:r>
      <w:r w:rsidR="00712122" w:rsidRPr="00712122">
        <w:rPr>
          <w:rFonts w:ascii="仿宋_GB2312" w:eastAsia="仿宋" w:hAnsi="Times New Roman" w:cs="DengXian-Regular" w:hint="eastAsia"/>
          <w:sz w:val="32"/>
          <w:szCs w:val="32"/>
        </w:rPr>
        <w:t>万元</w:t>
      </w:r>
      <w:r w:rsidR="00712122" w:rsidRPr="00712122">
        <w:rPr>
          <w:rFonts w:ascii="仿宋_GB2312" w:eastAsia="仿宋" w:hAnsi="Times New Roman" w:cs="DengXian-Regular" w:hint="eastAsia"/>
          <w:sz w:val="32"/>
          <w:szCs w:val="32"/>
        </w:rPr>
        <w:t>,</w:t>
      </w:r>
      <w:r w:rsidR="00712122" w:rsidRPr="00712122">
        <w:rPr>
          <w:rFonts w:ascii="仿宋_GB2312" w:eastAsia="仿宋" w:hAnsi="Times New Roman" w:cs="DengXian-Regular" w:hint="eastAsia"/>
          <w:sz w:val="32"/>
          <w:szCs w:val="32"/>
        </w:rPr>
        <w:t>发热门诊建设经费</w:t>
      </w:r>
      <w:r w:rsidR="00712122" w:rsidRPr="00712122">
        <w:rPr>
          <w:rFonts w:ascii="仿宋_GB2312" w:eastAsia="仿宋" w:hAnsi="Times New Roman" w:cs="DengXian-Regular" w:hint="eastAsia"/>
          <w:sz w:val="32"/>
          <w:szCs w:val="32"/>
        </w:rPr>
        <w:t>130</w:t>
      </w:r>
      <w:r w:rsidR="00712122" w:rsidRPr="00712122">
        <w:rPr>
          <w:rFonts w:ascii="仿宋_GB2312" w:eastAsia="仿宋" w:hAnsi="Times New Roman" w:cs="DengXian-Regular" w:hint="eastAsia"/>
          <w:sz w:val="32"/>
          <w:szCs w:val="32"/>
        </w:rPr>
        <w:t>万元</w:t>
      </w:r>
      <w:r w:rsidRPr="00712122">
        <w:rPr>
          <w:rFonts w:ascii="仿宋_GB2312" w:eastAsia="仿宋" w:hAnsi="Times New Roman" w:cs="DengXian-Regular" w:hint="eastAsia"/>
          <w:sz w:val="32"/>
          <w:szCs w:val="32"/>
        </w:rPr>
        <w:t>；</w:t>
      </w:r>
      <w:r w:rsidR="004E6115" w:rsidRPr="00712122">
        <w:rPr>
          <w:rFonts w:ascii="仿宋_GB2312" w:eastAsia="仿宋" w:hAnsi="Times New Roman" w:cs="DengXian-Regular" w:hint="eastAsia"/>
          <w:sz w:val="32"/>
          <w:szCs w:val="32"/>
        </w:rPr>
        <w:t>本年</w:t>
      </w:r>
      <w:r w:rsidRPr="00712122">
        <w:rPr>
          <w:rFonts w:ascii="仿宋_GB2312" w:eastAsia="仿宋" w:hAnsi="Times New Roman" w:cs="DengXian-Regular" w:hint="eastAsia"/>
          <w:sz w:val="32"/>
          <w:szCs w:val="32"/>
        </w:rPr>
        <w:t>支出完成年初预算</w:t>
      </w:r>
      <w:r w:rsidR="00100D00" w:rsidRPr="00712122">
        <w:rPr>
          <w:rFonts w:ascii="仿宋_GB2312" w:eastAsia="仿宋" w:hAnsi="Times New Roman" w:cs="DengXian-Regular"/>
          <w:sz w:val="32"/>
          <w:szCs w:val="32"/>
        </w:rPr>
        <w:t>543.6</w:t>
      </w:r>
      <w:r w:rsidRPr="00712122">
        <w:rPr>
          <w:rFonts w:ascii="仿宋_GB2312" w:eastAsia="仿宋" w:hAnsi="Times New Roman" w:cs="DengXian-Regular" w:hint="eastAsia"/>
          <w:sz w:val="32"/>
          <w:szCs w:val="32"/>
        </w:rPr>
        <w:t>%</w:t>
      </w:r>
      <w:r w:rsidRPr="00712122">
        <w:rPr>
          <w:rFonts w:ascii="仿宋_GB2312" w:eastAsia="仿宋" w:hAnsi="Times New Roman" w:cs="DengXian-Regular" w:hint="eastAsia"/>
          <w:sz w:val="32"/>
          <w:szCs w:val="32"/>
        </w:rPr>
        <w:t>，比年初预算</w:t>
      </w:r>
      <w:r w:rsidR="00100D00" w:rsidRPr="00712122">
        <w:rPr>
          <w:rFonts w:ascii="仿宋_GB2312" w:eastAsia="仿宋" w:hAnsi="Times New Roman" w:cs="DengXian-Regular"/>
          <w:sz w:val="32"/>
          <w:szCs w:val="32"/>
        </w:rPr>
        <w:t>增加</w:t>
      </w:r>
      <w:r w:rsidR="00100D00" w:rsidRPr="00712122">
        <w:rPr>
          <w:rFonts w:ascii="仿宋_GB2312" w:eastAsia="仿宋" w:hAnsi="Times New Roman" w:cs="DengXian-Regular"/>
          <w:sz w:val="32"/>
          <w:szCs w:val="32"/>
        </w:rPr>
        <w:t>6739.07</w:t>
      </w:r>
      <w:r w:rsidRPr="00712122">
        <w:rPr>
          <w:rFonts w:ascii="仿宋_GB2312" w:eastAsia="仿宋" w:hAnsi="Times New Roman" w:cs="DengXian-Regular" w:hint="eastAsia"/>
          <w:sz w:val="32"/>
          <w:szCs w:val="32"/>
        </w:rPr>
        <w:t>万元，主要是</w:t>
      </w:r>
      <w:r w:rsidR="00712122" w:rsidRPr="00712122">
        <w:rPr>
          <w:rFonts w:ascii="仿宋_GB2312" w:eastAsia="仿宋" w:hAnsi="Times New Roman" w:cs="DengXian-Regular" w:hint="eastAsia"/>
          <w:sz w:val="32"/>
          <w:szCs w:val="32"/>
        </w:rPr>
        <w:t>基本建设拨款</w:t>
      </w:r>
      <w:r w:rsidR="00712122" w:rsidRPr="00712122">
        <w:rPr>
          <w:rFonts w:ascii="仿宋_GB2312" w:eastAsia="仿宋" w:hAnsi="Times New Roman" w:cs="DengXian-Regular" w:hint="eastAsia"/>
          <w:sz w:val="32"/>
          <w:szCs w:val="32"/>
        </w:rPr>
        <w:t>4630</w:t>
      </w:r>
      <w:r w:rsidR="00712122" w:rsidRPr="00712122">
        <w:rPr>
          <w:rFonts w:ascii="仿宋_GB2312" w:eastAsia="仿宋" w:hAnsi="Times New Roman" w:cs="DengXian-Regular" w:hint="eastAsia"/>
          <w:sz w:val="32"/>
          <w:szCs w:val="32"/>
        </w:rPr>
        <w:t>万元</w:t>
      </w:r>
      <w:r w:rsidR="00712122" w:rsidRPr="00712122">
        <w:rPr>
          <w:rFonts w:ascii="仿宋_GB2312" w:eastAsia="仿宋" w:hAnsi="Times New Roman" w:cs="DengXian-Regular" w:hint="eastAsia"/>
          <w:sz w:val="32"/>
          <w:szCs w:val="32"/>
        </w:rPr>
        <w:t>,</w:t>
      </w:r>
      <w:r w:rsidR="00712122" w:rsidRPr="00712122">
        <w:rPr>
          <w:rFonts w:ascii="仿宋_GB2312" w:eastAsia="仿宋" w:hAnsi="Times New Roman" w:cs="DengXian-Regular" w:hint="eastAsia"/>
          <w:sz w:val="32"/>
          <w:szCs w:val="32"/>
        </w:rPr>
        <w:t>分别</w:t>
      </w:r>
      <w:r w:rsidR="00712122" w:rsidRPr="00C601FE">
        <w:rPr>
          <w:rFonts w:ascii="仿宋_GB2312" w:eastAsia="仿宋" w:hAnsi="Times New Roman" w:cs="DengXian-Regular" w:hint="eastAsia"/>
          <w:sz w:val="32"/>
          <w:szCs w:val="32"/>
        </w:rPr>
        <w:t>为医用综合楼项目</w:t>
      </w:r>
      <w:r w:rsidR="00712122" w:rsidRPr="00C601FE">
        <w:rPr>
          <w:rFonts w:ascii="仿宋_GB2312" w:eastAsia="仿宋" w:hAnsi="Times New Roman" w:cs="DengXian-Regular" w:hint="eastAsia"/>
          <w:sz w:val="32"/>
          <w:szCs w:val="32"/>
        </w:rPr>
        <w:t>4500</w:t>
      </w:r>
      <w:r w:rsidR="00712122" w:rsidRPr="00C601FE">
        <w:rPr>
          <w:rFonts w:ascii="仿宋_GB2312" w:eastAsia="仿宋" w:hAnsi="Times New Roman" w:cs="DengXian-Regular" w:hint="eastAsia"/>
          <w:sz w:val="32"/>
          <w:szCs w:val="32"/>
        </w:rPr>
        <w:t>万元</w:t>
      </w:r>
      <w:r w:rsidR="00712122" w:rsidRPr="00C601FE">
        <w:rPr>
          <w:rFonts w:ascii="仿宋_GB2312" w:eastAsia="仿宋" w:hAnsi="Times New Roman" w:cs="DengXian-Regular" w:hint="eastAsia"/>
          <w:sz w:val="32"/>
          <w:szCs w:val="32"/>
        </w:rPr>
        <w:t>,</w:t>
      </w:r>
      <w:r w:rsidR="00712122" w:rsidRPr="00C601FE">
        <w:rPr>
          <w:rFonts w:ascii="仿宋_GB2312" w:eastAsia="仿宋" w:hAnsi="Times New Roman" w:cs="DengXian-Regular" w:hint="eastAsia"/>
          <w:sz w:val="32"/>
          <w:szCs w:val="32"/>
        </w:rPr>
        <w:t>发热门诊建设经费</w:t>
      </w:r>
      <w:r w:rsidR="00712122" w:rsidRPr="00C601FE">
        <w:rPr>
          <w:rFonts w:ascii="仿宋_GB2312" w:eastAsia="仿宋" w:hAnsi="Times New Roman" w:cs="DengXian-Regular" w:hint="eastAsia"/>
          <w:sz w:val="32"/>
          <w:szCs w:val="32"/>
        </w:rPr>
        <w:t>130</w:t>
      </w:r>
      <w:r w:rsidR="00712122" w:rsidRPr="00C601FE">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lastRenderedPageBreak/>
        <w:t>2.</w:t>
      </w:r>
      <w:r w:rsidRPr="00FD4BAC">
        <w:rPr>
          <w:rFonts w:ascii="仿宋_GB2312" w:eastAsia="仿宋" w:hAnsi="Times New Roman" w:cs="DengXian-Regular" w:hint="eastAsia"/>
          <w:sz w:val="32"/>
          <w:szCs w:val="32"/>
        </w:rPr>
        <w:t>政府性基金预算财政拨款本年收入</w:t>
      </w:r>
      <w:r w:rsidR="00100D00">
        <w:rPr>
          <w:rFonts w:ascii="仿宋_GB2312" w:eastAsia="仿宋" w:hAnsi="Times New Roman" w:cs="DengXian-Regular" w:hint="eastAsia"/>
          <w:sz w:val="32"/>
          <w:szCs w:val="32"/>
        </w:rPr>
        <w:t>0.00</w:t>
      </w:r>
      <w:r w:rsidR="00100D00">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100D00">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r w:rsidR="003A0921" w:rsidRPr="00FD4BAC">
        <w:rPr>
          <w:rFonts w:ascii="仿宋_GB2312" w:eastAsia="仿宋" w:hAnsi="Times New Roman" w:cs="DengXian-Regular" w:hint="eastAsia"/>
          <w:sz w:val="32"/>
          <w:szCs w:val="32"/>
        </w:rPr>
        <w:t>本年</w:t>
      </w:r>
      <w:r w:rsidRPr="00FD4BAC">
        <w:rPr>
          <w:rFonts w:ascii="仿宋_GB2312" w:eastAsia="仿宋" w:hAnsi="Times New Roman" w:cs="DengXian-Regular" w:hint="eastAsia"/>
          <w:sz w:val="32"/>
          <w:szCs w:val="32"/>
        </w:rPr>
        <w:t>支出</w:t>
      </w:r>
      <w:r w:rsidR="00100D00">
        <w:rPr>
          <w:rFonts w:ascii="仿宋_GB2312" w:eastAsia="仿宋" w:hAnsi="Times New Roman" w:cs="DengXian-Regular" w:hint="eastAsia"/>
          <w:sz w:val="32"/>
          <w:szCs w:val="32"/>
        </w:rPr>
        <w:t>0.00</w:t>
      </w:r>
      <w:r w:rsidR="00100D00">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100D00">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p>
    <w:p w:rsidR="004779DD"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3.</w:t>
      </w:r>
      <w:r w:rsidRPr="00FD4BAC">
        <w:rPr>
          <w:rFonts w:ascii="仿宋_GB2312" w:eastAsia="仿宋" w:hAnsi="Times New Roman" w:cs="DengXian-Regular" w:hint="eastAsia"/>
          <w:sz w:val="32"/>
          <w:szCs w:val="32"/>
        </w:rPr>
        <w:t>国有资本经营预算财政拨款本年收入</w:t>
      </w:r>
      <w:r w:rsidR="00100D00">
        <w:rPr>
          <w:rFonts w:ascii="仿宋_GB2312" w:eastAsia="仿宋" w:hAnsi="Times New Roman" w:cs="DengXian-Regular" w:hint="eastAsia"/>
          <w:sz w:val="32"/>
          <w:szCs w:val="32"/>
        </w:rPr>
        <w:t>0.00</w:t>
      </w:r>
      <w:r w:rsidR="00100D00">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100D00">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r w:rsidR="003A0921" w:rsidRPr="00FD4BAC">
        <w:rPr>
          <w:rFonts w:ascii="仿宋_GB2312" w:eastAsia="仿宋" w:hAnsi="Times New Roman" w:cs="DengXian-Regular" w:hint="eastAsia"/>
          <w:sz w:val="32"/>
          <w:szCs w:val="32"/>
        </w:rPr>
        <w:t>本年</w:t>
      </w:r>
      <w:r w:rsidRPr="00FD4BAC">
        <w:rPr>
          <w:rFonts w:ascii="仿宋_GB2312" w:eastAsia="仿宋" w:hAnsi="Times New Roman" w:cs="DengXian-Regular" w:hint="eastAsia"/>
          <w:sz w:val="32"/>
          <w:szCs w:val="32"/>
        </w:rPr>
        <w:t>支出</w:t>
      </w:r>
      <w:r w:rsidR="00100D00">
        <w:rPr>
          <w:rFonts w:ascii="仿宋_GB2312" w:eastAsia="仿宋" w:hAnsi="Times New Roman" w:cs="DengXian-Regular" w:hint="eastAsia"/>
          <w:sz w:val="32"/>
          <w:szCs w:val="32"/>
        </w:rPr>
        <w:t>0.00</w:t>
      </w:r>
      <w:r w:rsidR="00100D00">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00100D00">
        <w:rPr>
          <w:rFonts w:ascii="仿宋_GB2312" w:eastAsia="仿宋" w:hAnsi="Times New Roman" w:cs="DengXian-Regular" w:hint="eastAsia"/>
          <w:sz w:val="32"/>
          <w:szCs w:val="32"/>
        </w:rPr>
        <w:t>与预算持平</w:t>
      </w:r>
      <w:r w:rsidRPr="00FD4BAC">
        <w:rPr>
          <w:rFonts w:ascii="仿宋_GB2312" w:eastAsia="仿宋" w:hAnsi="Times New Roman"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2"/>
      </w:tblGrid>
      <w:tr w:rsidR="004779DD" w:rsidTr="008A3227">
        <w:trPr>
          <w:trHeight w:val="5203"/>
          <w:jc w:val="center"/>
        </w:trPr>
        <w:tc>
          <w:tcPr>
            <w:tcW w:w="7842" w:type="dxa"/>
            <w:vAlign w:val="bottom"/>
          </w:tcPr>
          <w:p w:rsidR="004779DD" w:rsidRPr="00FD4BAC" w:rsidRDefault="00D9752C" w:rsidP="004779DD">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noProof/>
                <w:sz w:val="32"/>
                <w:szCs w:val="32"/>
              </w:rPr>
              <w:drawing>
                <wp:anchor distT="0" distB="0" distL="114300" distR="114300" simplePos="0" relativeHeight="251678208" behindDoc="0" locked="0" layoutInCell="1" allowOverlap="1">
                  <wp:simplePos x="0" y="0"/>
                  <wp:positionH relativeFrom="column">
                    <wp:posOffset>140335</wp:posOffset>
                  </wp:positionH>
                  <wp:positionV relativeFrom="paragraph">
                    <wp:posOffset>302895</wp:posOffset>
                  </wp:positionV>
                  <wp:extent cx="4581525" cy="2752725"/>
                  <wp:effectExtent l="19050" t="0" r="9525" b="0"/>
                  <wp:wrapNone/>
                  <wp:docPr id="1" name="图片 1" descr="C:\Users\Administrator\Desktop\Safe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afeDesktop\111.png"/>
                          <pic:cNvPicPr>
                            <a:picLocks noChangeAspect="1" noChangeArrowheads="1"/>
                          </pic:cNvPicPr>
                        </pic:nvPicPr>
                        <pic:blipFill>
                          <a:blip r:embed="rId39"/>
                          <a:srcRect/>
                          <a:stretch>
                            <a:fillRect/>
                          </a:stretch>
                        </pic:blipFill>
                        <pic:spPr bwMode="auto">
                          <a:xfrm>
                            <a:off x="0" y="0"/>
                            <a:ext cx="4581525" cy="2752725"/>
                          </a:xfrm>
                          <a:prstGeom prst="rect">
                            <a:avLst/>
                          </a:prstGeom>
                          <a:noFill/>
                          <a:ln w="9525">
                            <a:noFill/>
                            <a:miter lim="800000"/>
                            <a:headEnd/>
                            <a:tailEnd/>
                          </a:ln>
                        </pic:spPr>
                      </pic:pic>
                    </a:graphicData>
                  </a:graphic>
                </wp:anchor>
              </w:drawing>
            </w:r>
          </w:p>
        </w:tc>
      </w:tr>
    </w:tbl>
    <w:p w:rsidR="00F73F83" w:rsidRPr="00FD4BAC" w:rsidRDefault="00B936A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财政拨款支出决算结构情况。</w:t>
      </w:r>
    </w:p>
    <w:p w:rsidR="00D76ECA"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年度财政拨款支出</w:t>
      </w:r>
      <w:r w:rsidR="00100D00">
        <w:rPr>
          <w:rFonts w:ascii="仿宋_GB2312" w:eastAsia="仿宋" w:hAnsi="Times New Roman" w:cs="DengXian-Regular"/>
          <w:sz w:val="32"/>
          <w:szCs w:val="32"/>
        </w:rPr>
        <w:t>8258.38</w:t>
      </w:r>
      <w:r w:rsidRPr="00FD4BAC">
        <w:rPr>
          <w:rFonts w:ascii="仿宋_GB2312" w:eastAsia="仿宋" w:hAnsi="Times New Roman" w:cs="DengXian-Regular" w:hint="eastAsia"/>
          <w:sz w:val="32"/>
          <w:szCs w:val="32"/>
        </w:rPr>
        <w:t>万元，主要用于以下方面</w:t>
      </w:r>
      <w:r w:rsidR="00D434A9" w:rsidRPr="00FD4BAC">
        <w:rPr>
          <w:rFonts w:ascii="仿宋_GB2312" w:eastAsia="仿宋" w:hAnsi="Times New Roman" w:cs="DengXian-Regular" w:hint="eastAsia"/>
          <w:sz w:val="32"/>
          <w:szCs w:val="32"/>
        </w:rPr>
        <w:t>。</w:t>
      </w:r>
    </w:p>
    <w:p w:rsidR="00F73F83" w:rsidRPr="00FD4BAC" w:rsidRDefault="00F1340E">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Wingdings" w:hint="eastAsia"/>
          <w:sz w:val="32"/>
          <w:szCs w:val="32"/>
        </w:rPr>
        <w:t>卫生健康（类）支出</w:t>
      </w:r>
      <w:r w:rsidR="00100D00">
        <w:rPr>
          <w:rFonts w:ascii="仿宋_GB2312" w:eastAsia="仿宋" w:hAnsi="Times New Roman" w:cs="DengXian-Regular"/>
          <w:sz w:val="32"/>
          <w:szCs w:val="32"/>
        </w:rPr>
        <w:t>7958.38</w:t>
      </w:r>
      <w:r w:rsidRPr="00FD4BAC">
        <w:rPr>
          <w:rFonts w:ascii="仿宋_GB2312" w:eastAsia="仿宋" w:hAnsi="Times New Roman" w:cs="Wingdings" w:hint="eastAsia"/>
          <w:sz w:val="32"/>
          <w:szCs w:val="32"/>
        </w:rPr>
        <w:t>万元，占</w:t>
      </w:r>
      <w:r w:rsidR="00100D00">
        <w:rPr>
          <w:rFonts w:ascii="仿宋_GB2312" w:eastAsia="仿宋" w:hAnsi="Times New Roman" w:cs="DengXian-Regular"/>
          <w:sz w:val="32"/>
          <w:szCs w:val="32"/>
        </w:rPr>
        <w:t>96.4</w:t>
      </w:r>
      <w:r w:rsidRPr="00FD4BAC">
        <w:rPr>
          <w:rFonts w:ascii="仿宋_GB2312" w:eastAsia="仿宋" w:hAnsi="Times New Roman" w:cs="Wingdings" w:hint="eastAsia"/>
          <w:sz w:val="32"/>
          <w:szCs w:val="32"/>
        </w:rPr>
        <w:t>%</w:t>
      </w:r>
      <w:r w:rsidR="004F7963" w:rsidRPr="00FD4BAC">
        <w:rPr>
          <w:rFonts w:ascii="仿宋_GB2312" w:eastAsia="仿宋" w:hAnsi="Times New Roman" w:cs="DengXian-Regular" w:hint="eastAsia"/>
          <w:sz w:val="32"/>
          <w:szCs w:val="32"/>
        </w:rPr>
        <w:t>，</w:t>
      </w:r>
      <w:r w:rsidR="004F7963" w:rsidRPr="00712122">
        <w:rPr>
          <w:rFonts w:ascii="仿宋_GB2312" w:eastAsia="仿宋" w:hAnsi="Times New Roman" w:cs="DengXian-Regular" w:hint="eastAsia"/>
          <w:sz w:val="32"/>
          <w:szCs w:val="32"/>
        </w:rPr>
        <w:t>主要用于</w:t>
      </w:r>
      <w:r w:rsidR="00712122" w:rsidRPr="00712122">
        <w:rPr>
          <w:rFonts w:ascii="仿宋_GB2312" w:eastAsia="仿宋" w:hAnsi="Times New Roman" w:cs="DengXian-Regular" w:hint="eastAsia"/>
          <w:sz w:val="32"/>
          <w:szCs w:val="32"/>
        </w:rPr>
        <w:t>医院医用综合楼建设、疫情防控专项支出等</w:t>
      </w:r>
      <w:r w:rsidRPr="00712122">
        <w:rPr>
          <w:rFonts w:ascii="仿宋_GB2312" w:eastAsia="仿宋" w:hAnsi="Times New Roman" w:cs="Wingdings" w:hint="eastAsia"/>
          <w:sz w:val="32"/>
          <w:szCs w:val="32"/>
        </w:rPr>
        <w:t>；商业服务业等（类）支出</w:t>
      </w:r>
      <w:r w:rsidR="00100D00" w:rsidRPr="00712122">
        <w:rPr>
          <w:rFonts w:ascii="仿宋_GB2312" w:eastAsia="仿宋" w:hAnsi="Times New Roman" w:cs="DengXian-Regular"/>
          <w:sz w:val="32"/>
          <w:szCs w:val="32"/>
        </w:rPr>
        <w:t>300.00</w:t>
      </w:r>
      <w:r w:rsidRPr="00712122">
        <w:rPr>
          <w:rFonts w:ascii="仿宋_GB2312" w:eastAsia="仿宋" w:hAnsi="Times New Roman" w:cs="Wingdings" w:hint="eastAsia"/>
          <w:sz w:val="32"/>
          <w:szCs w:val="32"/>
        </w:rPr>
        <w:t>万元，占</w:t>
      </w:r>
      <w:r w:rsidR="00100D00" w:rsidRPr="00712122">
        <w:rPr>
          <w:rFonts w:ascii="仿宋_GB2312" w:eastAsia="仿宋" w:hAnsi="Times New Roman" w:cs="DengXian-Regular"/>
          <w:sz w:val="32"/>
          <w:szCs w:val="32"/>
        </w:rPr>
        <w:t>3.6</w:t>
      </w:r>
      <w:r w:rsidRPr="00712122">
        <w:rPr>
          <w:rFonts w:ascii="仿宋_GB2312" w:eastAsia="仿宋" w:hAnsi="Times New Roman" w:cs="Wingdings" w:hint="eastAsia"/>
          <w:sz w:val="32"/>
          <w:szCs w:val="32"/>
        </w:rPr>
        <w:t>%</w:t>
      </w:r>
      <w:r w:rsidR="004F7963" w:rsidRPr="00712122">
        <w:rPr>
          <w:rFonts w:ascii="仿宋_GB2312" w:eastAsia="仿宋" w:hAnsi="Times New Roman" w:cs="DengXian-Regular" w:hint="eastAsia"/>
          <w:sz w:val="32"/>
          <w:szCs w:val="32"/>
        </w:rPr>
        <w:t>，主要用于</w:t>
      </w:r>
      <w:r w:rsidR="00712122" w:rsidRPr="00712122">
        <w:rPr>
          <w:rFonts w:ascii="仿宋_GB2312" w:eastAsia="仿宋" w:hAnsi="Times New Roman" w:cs="DengXian-Regular" w:hint="eastAsia"/>
          <w:sz w:val="32"/>
          <w:szCs w:val="32"/>
        </w:rPr>
        <w:t>中医药出口服务基地建设</w:t>
      </w:r>
      <w:r w:rsidR="004F7963" w:rsidRPr="00712122">
        <w:rPr>
          <w:rFonts w:ascii="仿宋_GB2312" w:eastAsia="仿宋" w:hAnsi="Times New Roman" w:cs="DengXian-Regular" w:hint="eastAsia"/>
          <w:sz w:val="32"/>
          <w:szCs w:val="32"/>
        </w:rPr>
        <w:t>支出</w:t>
      </w:r>
      <w:r w:rsidRPr="00712122">
        <w:rPr>
          <w:rFonts w:ascii="仿宋_GB2312" w:eastAsia="仿宋" w:hAnsi="Times New Roman" w:cs="Wingdings" w:hint="eastAsia"/>
          <w:sz w:val="32"/>
          <w:szCs w:val="32"/>
        </w:rPr>
        <w:t>。</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（四）一般公共预算基本支出决算情况说明</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年度财政拨款基本支出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万元，其中：</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人员经费</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公用经费</w:t>
      </w:r>
      <w:r w:rsidR="00100D00">
        <w:rPr>
          <w:rFonts w:ascii="仿宋_GB2312" w:eastAsia="仿宋" w:hAnsi="Times New Roman" w:cs="DengXian-Regular"/>
          <w:sz w:val="32"/>
          <w:szCs w:val="32"/>
        </w:rPr>
        <w:t>0.00</w:t>
      </w:r>
      <w:r w:rsidR="00712122">
        <w:rPr>
          <w:rFonts w:ascii="仿宋_GB2312" w:eastAsia="仿宋" w:hAnsi="Times New Roman" w:cs="DengXian-Regular" w:hint="eastAsia"/>
          <w:sz w:val="32"/>
          <w:szCs w:val="32"/>
        </w:rPr>
        <w:t>万元。</w:t>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五、一般公共预算“三公”经费支出决算情况说明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lastRenderedPageBreak/>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年度“三公”经费财政拨款支出预算为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万元，支出决算为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较预算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2020</w:t>
      </w:r>
      <w:r w:rsidRPr="00FD4BAC">
        <w:rPr>
          <w:rFonts w:ascii="仿宋_GB2312" w:eastAsia="仿宋" w:hAnsi="Times New Roman" w:cs="DengXian-Regular" w:hint="eastAsia"/>
          <w:sz w:val="32"/>
          <w:szCs w:val="32"/>
        </w:rPr>
        <w:t>年度决算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1.</w:t>
      </w:r>
      <w:r w:rsidRPr="00FD4BAC">
        <w:rPr>
          <w:rFonts w:ascii="楷体_GB2312" w:eastAsia="楷体" w:hAnsi="Times New Roman" w:cs="DengXian-Bold" w:hint="eastAsia"/>
          <w:b/>
          <w:bCs/>
          <w:sz w:val="32"/>
          <w:szCs w:val="32"/>
        </w:rPr>
        <w:t>因公出国（境）费支出情况。</w:t>
      </w: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年度因公出国（境）费支出预算为</w:t>
      </w:r>
      <w:r w:rsidR="005D23F6" w:rsidRPr="00FD4BAC">
        <w:rPr>
          <w:rFonts w:ascii="仿宋_GB2312" w:eastAsia="仿宋" w:hAnsi="Times New Roman" w:cs="DengXian-Regular"/>
          <w:sz w:val="32"/>
          <w:szCs w:val="32"/>
        </w:rPr>
        <w:t>0</w:t>
      </w:r>
      <w:r w:rsidR="008A3227" w:rsidRPr="00FD4BAC">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万元，支出决算</w:t>
      </w:r>
      <w:r w:rsidR="005D23F6" w:rsidRPr="00FD4BAC">
        <w:rPr>
          <w:rFonts w:ascii="仿宋_GB2312" w:eastAsia="仿宋" w:hAnsi="Times New Roman" w:cs="DengXian-Regular"/>
          <w:sz w:val="32"/>
          <w:szCs w:val="32"/>
        </w:rPr>
        <w:t>0</w:t>
      </w:r>
      <w:r w:rsidR="00F51FFA" w:rsidRPr="00FD4BAC">
        <w:rPr>
          <w:rFonts w:ascii="仿宋_GB2312" w:eastAsia="仿宋" w:hAnsi="Times New Roman" w:cs="DengXian-Regular"/>
          <w:sz w:val="32"/>
          <w:szCs w:val="32"/>
        </w:rPr>
        <w:t>.00</w:t>
      </w:r>
      <w:r w:rsidRPr="00FD4BAC">
        <w:rPr>
          <w:rFonts w:ascii="仿宋_GB2312" w:eastAsia="仿宋" w:hAnsi="Times New Roman" w:cs="DengXian-Regular" w:hint="eastAsia"/>
          <w:sz w:val="32"/>
          <w:szCs w:val="32"/>
        </w:rPr>
        <w:t>万元。其中因公出国（境）团组</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个、共</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人、参加其他单位组织的因公出国（境）团组</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个、共</w:t>
      </w:r>
      <w:r w:rsidR="006A0261" w:rsidRPr="00FD4BAC">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w:t>
      </w:r>
      <w:r w:rsidRPr="00FD4BAC">
        <w:rPr>
          <w:rFonts w:ascii="仿宋_GB2312" w:eastAsia="仿宋" w:hAnsi="Times New Roman" w:cs="DengXian-Regular" w:hint="eastAsia"/>
          <w:b/>
          <w:bCs/>
          <w:sz w:val="32"/>
          <w:szCs w:val="32"/>
        </w:rPr>
        <w:t>/</w:t>
      </w:r>
      <w:r w:rsidRPr="00FD4BAC">
        <w:rPr>
          <w:rFonts w:ascii="仿宋_GB2312" w:eastAsia="仿宋" w:hAnsi="Times New Roman" w:cs="DengXian-Regular" w:hint="eastAsia"/>
          <w:sz w:val="32"/>
          <w:szCs w:val="32"/>
        </w:rPr>
        <w:t>无本单位组织的出国（境）团组。因公出国（境）费支出较预算</w:t>
      </w:r>
      <w:r w:rsidR="006A0261" w:rsidRPr="00FD4BAC">
        <w:rPr>
          <w:rFonts w:ascii="仿宋_GB2312" w:eastAsia="仿宋" w:hAnsi="Times New Roman" w:cs="DengXian-Regular" w:hint="eastAsia"/>
          <w:sz w:val="32"/>
          <w:szCs w:val="32"/>
        </w:rPr>
        <w:t>持平</w:t>
      </w:r>
      <w:r w:rsidRPr="00FD4BAC">
        <w:rPr>
          <w:rFonts w:ascii="仿宋_GB2312" w:eastAsia="仿宋" w:hAnsi="Times New Roman" w:cs="DengXian-Regular" w:hint="eastAsia"/>
          <w:sz w:val="32"/>
          <w:szCs w:val="32"/>
        </w:rPr>
        <w:t>；较上年</w:t>
      </w:r>
      <w:r w:rsidR="00794FD2" w:rsidRPr="00FD4BAC">
        <w:rPr>
          <w:rFonts w:ascii="仿宋_GB2312" w:eastAsia="仿宋" w:hAnsi="Times New Roman" w:cs="DengXian-Regular" w:hint="eastAsia"/>
          <w:sz w:val="32"/>
          <w:szCs w:val="32"/>
        </w:rPr>
        <w:t>持平。</w:t>
      </w:r>
    </w:p>
    <w:p w:rsidR="00F73F83" w:rsidRPr="00FD4BAC" w:rsidRDefault="00B936AD">
      <w:pPr>
        <w:adjustRightInd w:val="0"/>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年度公务用车购置及运行维护费预算为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万元，支出决算</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万元。较预算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r w:rsidRPr="00FD4BAC">
        <w:rPr>
          <w:rFonts w:ascii="仿宋_GB2312" w:eastAsia="仿宋" w:hAnsi="Times New Roman" w:cs="DengXian-Bold" w:hint="eastAsia"/>
          <w:sz w:val="32"/>
          <w:szCs w:val="32"/>
        </w:rPr>
        <w:t>其中：</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仿宋_GB2312" w:eastAsia="仿宋" w:hAnsi="Times New Roman" w:cs="DengXian-Regular" w:hint="eastAsia"/>
          <w:b/>
          <w:sz w:val="32"/>
          <w:szCs w:val="32"/>
        </w:rPr>
        <w:t>公务用车购置费支出</w:t>
      </w:r>
      <w:r w:rsidR="00100D00">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年度公务用车购置量</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辆，发生“公务用车购置”经费支出</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万元。公务用车购置费支出较预算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仿宋_GB2312" w:eastAsia="仿宋" w:hAnsi="Times New Roman" w:cs="DengXian-Regular" w:hint="eastAsia"/>
          <w:b/>
          <w:sz w:val="32"/>
          <w:szCs w:val="32"/>
        </w:rPr>
        <w:t>公务用车运行维护费支出</w:t>
      </w:r>
      <w:r w:rsidR="00100D00">
        <w:rPr>
          <w:rFonts w:ascii="仿宋_GB2312" w:eastAsia="仿宋" w:hAnsi="Times New Roman" w:cs="DengXian-Regular"/>
          <w:b/>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年度单位公务用车保有量</w:t>
      </w:r>
      <w:r w:rsidR="00100D00">
        <w:rPr>
          <w:rFonts w:ascii="仿宋_GB2312" w:eastAsia="仿宋" w:hAnsi="Times New Roman" w:cs="DengXian-Regular" w:hint="eastAsia"/>
          <w:sz w:val="32"/>
          <w:szCs w:val="32"/>
        </w:rPr>
        <w:t>0</w:t>
      </w:r>
      <w:r w:rsidRPr="00FD4BAC">
        <w:rPr>
          <w:rFonts w:ascii="仿宋_GB2312" w:eastAsia="仿宋" w:hAnsi="Times New Roman" w:cs="DengXian-Regular" w:hint="eastAsia"/>
          <w:sz w:val="32"/>
          <w:szCs w:val="32"/>
        </w:rPr>
        <w:t>辆。公车运行维护费支出较预算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年度公务接待费支出预算为</w:t>
      </w:r>
      <w:r w:rsidR="00100D00">
        <w:rPr>
          <w:rFonts w:ascii="仿宋_GB2312" w:eastAsia="仿宋" w:hAnsi="Times New Roman" w:cs="DengXian-Regular"/>
          <w:sz w:val="32"/>
          <w:szCs w:val="32"/>
        </w:rPr>
        <w:t>0.00</w:t>
      </w:r>
      <w:r w:rsidR="00106D6A" w:rsidRPr="00FD4BAC">
        <w:rPr>
          <w:rFonts w:ascii="仿宋_GB2312" w:eastAsia="仿宋" w:hAnsi="Times New Roman" w:cs="DengXian-Regular" w:hint="eastAsia"/>
          <w:sz w:val="32"/>
          <w:szCs w:val="32"/>
        </w:rPr>
        <w:t>万元</w:t>
      </w:r>
      <w:r w:rsidRPr="00FD4BAC">
        <w:rPr>
          <w:rFonts w:ascii="仿宋_GB2312" w:eastAsia="仿宋" w:hAnsi="Times New Roman" w:cs="DengXian-Regular" w:hint="eastAsia"/>
          <w:sz w:val="32"/>
          <w:szCs w:val="32"/>
        </w:rPr>
        <w:t>，支出决算</w:t>
      </w:r>
      <w:r w:rsidR="00100D00">
        <w:rPr>
          <w:rFonts w:ascii="仿宋_GB2312" w:eastAsia="仿宋" w:hAnsi="Times New Roman" w:cs="DengXian-Regular"/>
          <w:sz w:val="32"/>
          <w:szCs w:val="32"/>
        </w:rPr>
        <w:t>0.00</w:t>
      </w:r>
      <w:r w:rsidRPr="00FD4BAC">
        <w:rPr>
          <w:rFonts w:ascii="仿宋_GB2312" w:eastAsia="仿宋" w:hAnsi="Times New Roman" w:cs="DengXian-Regular" w:hint="eastAsia"/>
          <w:sz w:val="32"/>
          <w:szCs w:val="32"/>
        </w:rPr>
        <w:t>万元。本年度共发生公务接待</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批次、</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人次。公务接待费支出较预算</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；较上年</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w:t>
      </w:r>
    </w:p>
    <w:p w:rsidR="00F73F83" w:rsidRDefault="00B936AD">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F73F83" w:rsidRPr="00FD4BAC" w:rsidRDefault="00B936AD">
      <w:pPr>
        <w:adjustRightInd w:val="0"/>
        <w:snapToGrid w:val="0"/>
        <w:spacing w:line="580" w:lineRule="exact"/>
        <w:ind w:firstLineChars="200" w:firstLine="643"/>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（一）预算绩效管理工作开展情况</w:t>
      </w:r>
    </w:p>
    <w:p w:rsidR="00F73F83" w:rsidRPr="00FD4BAC" w:rsidRDefault="00B936AD">
      <w:pPr>
        <w:adjustRightInd w:val="0"/>
        <w:snapToGrid w:val="0"/>
        <w:spacing w:line="580" w:lineRule="exact"/>
        <w:ind w:firstLineChars="200" w:firstLine="640"/>
        <w:rPr>
          <w:rFonts w:ascii="仿宋_GB2312" w:eastAsia="仿宋" w:hAnsi="仿宋_GB2312" w:cs="仿宋_GB2312"/>
          <w:sz w:val="32"/>
          <w:szCs w:val="32"/>
        </w:rPr>
      </w:pPr>
      <w:r w:rsidRPr="00FD4BAC">
        <w:rPr>
          <w:rFonts w:ascii="仿宋_GB2312" w:eastAsia="仿宋" w:hAnsi="仿宋_GB2312" w:cs="仿宋_GB2312" w:hint="eastAsia"/>
          <w:sz w:val="32"/>
          <w:szCs w:val="32"/>
        </w:rPr>
        <w:t>根据预算绩效管理要求，本</w:t>
      </w:r>
      <w:r w:rsidR="00100D00">
        <w:rPr>
          <w:rFonts w:ascii="仿宋_GB2312" w:eastAsia="仿宋" w:hAnsi="仿宋_GB2312" w:cs="仿宋_GB2312"/>
          <w:sz w:val="32"/>
          <w:szCs w:val="32"/>
        </w:rPr>
        <w:t>单位</w:t>
      </w:r>
      <w:r w:rsidRPr="00FD4BAC">
        <w:rPr>
          <w:rFonts w:ascii="仿宋_GB2312" w:eastAsia="仿宋" w:hAnsi="仿宋_GB2312" w:cs="仿宋_GB2312" w:hint="eastAsia"/>
          <w:sz w:val="32"/>
          <w:szCs w:val="32"/>
        </w:rPr>
        <w:t>组织对</w:t>
      </w:r>
      <w:r w:rsidRPr="00FD4BAC">
        <w:rPr>
          <w:rFonts w:ascii="仿宋_GB2312" w:eastAsia="仿宋" w:hAnsi="仿宋_GB2312" w:cs="仿宋_GB2312" w:hint="eastAsia"/>
          <w:sz w:val="32"/>
          <w:szCs w:val="32"/>
        </w:rPr>
        <w:t>2021</w:t>
      </w:r>
      <w:r w:rsidRPr="00FD4BAC">
        <w:rPr>
          <w:rFonts w:ascii="仿宋_GB2312" w:eastAsia="仿宋" w:hAnsi="仿宋_GB2312" w:cs="仿宋_GB2312" w:hint="eastAsia"/>
          <w:sz w:val="32"/>
          <w:szCs w:val="32"/>
        </w:rPr>
        <w:t>年度一般公共</w:t>
      </w:r>
      <w:r w:rsidRPr="00FD4BAC">
        <w:rPr>
          <w:rFonts w:ascii="仿宋_GB2312" w:eastAsia="仿宋" w:hAnsi="仿宋_GB2312" w:cs="仿宋_GB2312" w:hint="eastAsia"/>
          <w:sz w:val="32"/>
          <w:szCs w:val="32"/>
        </w:rPr>
        <w:lastRenderedPageBreak/>
        <w:t>预算项目支出全面开展绩效自评，</w:t>
      </w:r>
      <w:r w:rsidR="00712122">
        <w:rPr>
          <w:rFonts w:ascii="仿宋_GB2312" w:eastAsia="仿宋" w:hAnsi="仿宋_GB2312" w:cs="仿宋_GB2312" w:hint="eastAsia"/>
          <w:sz w:val="32"/>
          <w:szCs w:val="32"/>
        </w:rPr>
        <w:t>涉及项目共计</w:t>
      </w:r>
      <w:r w:rsidR="00712122">
        <w:rPr>
          <w:rFonts w:ascii="仿宋_GB2312" w:eastAsia="仿宋" w:hAnsi="仿宋_GB2312" w:cs="仿宋_GB2312" w:hint="eastAsia"/>
          <w:sz w:val="32"/>
          <w:szCs w:val="32"/>
        </w:rPr>
        <w:t>19</w:t>
      </w:r>
      <w:r w:rsidR="00712122">
        <w:rPr>
          <w:rFonts w:ascii="仿宋_GB2312" w:eastAsia="仿宋" w:hAnsi="仿宋_GB2312" w:cs="仿宋_GB2312" w:hint="eastAsia"/>
          <w:sz w:val="32"/>
          <w:szCs w:val="32"/>
        </w:rPr>
        <w:t>个，</w:t>
      </w:r>
      <w:r w:rsidRPr="00FD4BAC">
        <w:rPr>
          <w:rFonts w:ascii="仿宋_GB2312" w:eastAsia="仿宋" w:hAnsi="仿宋_GB2312" w:cs="仿宋_GB2312" w:hint="eastAsia"/>
          <w:sz w:val="32"/>
          <w:szCs w:val="32"/>
        </w:rPr>
        <w:t>共涉及资金</w:t>
      </w:r>
      <w:r w:rsidR="00712122">
        <w:rPr>
          <w:rFonts w:ascii="仿宋_GB2312" w:eastAsia="仿宋" w:hAnsi="仿宋_GB2312" w:cs="仿宋_GB2312" w:hint="eastAsia"/>
          <w:sz w:val="32"/>
          <w:szCs w:val="32"/>
        </w:rPr>
        <w:t>8174.18</w:t>
      </w:r>
      <w:r w:rsidRPr="00FD4BAC">
        <w:rPr>
          <w:rFonts w:ascii="仿宋_GB2312" w:eastAsia="仿宋" w:hAnsi="仿宋_GB2312" w:cs="仿宋_GB2312" w:hint="eastAsia"/>
          <w:sz w:val="32"/>
          <w:szCs w:val="32"/>
        </w:rPr>
        <w:t>万元，占一般公共预算项目支出总额的</w:t>
      </w:r>
      <w:r w:rsidR="00712122">
        <w:rPr>
          <w:rFonts w:ascii="仿宋_GB2312" w:eastAsia="仿宋" w:hAnsi="仿宋_GB2312" w:cs="仿宋_GB2312" w:hint="eastAsia"/>
          <w:sz w:val="32"/>
          <w:szCs w:val="32"/>
        </w:rPr>
        <w:t>100%</w:t>
      </w:r>
      <w:r w:rsidRPr="00FD4BAC">
        <w:rPr>
          <w:rFonts w:ascii="仿宋_GB2312" w:eastAsia="仿宋" w:hAnsi="仿宋_GB2312" w:cs="仿宋_GB2312" w:hint="eastAsia"/>
          <w:sz w:val="32"/>
          <w:szCs w:val="32"/>
        </w:rPr>
        <w:t>。</w:t>
      </w:r>
      <w:r w:rsidRPr="00FD4BAC">
        <w:rPr>
          <w:rFonts w:ascii="仿宋_GB2312" w:eastAsia="仿宋" w:hAnsi="仿宋_GB2312" w:cs="仿宋_GB2312" w:hint="eastAsia"/>
          <w:sz w:val="32"/>
          <w:szCs w:val="32"/>
        </w:rPr>
        <w:t>2021</w:t>
      </w:r>
      <w:r w:rsidRPr="00FD4BAC">
        <w:rPr>
          <w:rFonts w:ascii="仿宋_GB2312" w:eastAsia="仿宋" w:hAnsi="仿宋_GB2312" w:cs="仿宋_GB2312" w:hint="eastAsia"/>
          <w:sz w:val="32"/>
          <w:szCs w:val="32"/>
        </w:rPr>
        <w:t>年度</w:t>
      </w:r>
      <w:r w:rsidR="003428DB">
        <w:rPr>
          <w:rFonts w:ascii="仿宋_GB2312" w:eastAsia="仿宋" w:hAnsi="仿宋_GB2312" w:cs="仿宋_GB2312" w:hint="eastAsia"/>
          <w:sz w:val="32"/>
          <w:szCs w:val="32"/>
        </w:rPr>
        <w:t>无政府性基金项目。</w:t>
      </w:r>
    </w:p>
    <w:p w:rsidR="00F73F83" w:rsidRPr="00FD4BAC" w:rsidRDefault="00B936AD">
      <w:pPr>
        <w:adjustRightInd w:val="0"/>
        <w:snapToGrid w:val="0"/>
        <w:spacing w:line="580" w:lineRule="exact"/>
        <w:ind w:firstLineChars="200" w:firstLine="640"/>
        <w:rPr>
          <w:rFonts w:ascii="仿宋_GB2312" w:eastAsia="仿宋" w:hAnsi="仿宋_GB2312" w:cs="仿宋_GB2312"/>
          <w:sz w:val="32"/>
          <w:szCs w:val="32"/>
          <w:highlight w:val="yellow"/>
        </w:rPr>
      </w:pPr>
      <w:r w:rsidRPr="00FD4BAC">
        <w:rPr>
          <w:rFonts w:ascii="仿宋_GB2312" w:eastAsia="仿宋" w:hAnsi="仿宋_GB2312" w:cs="仿宋_GB2312" w:hint="eastAsia"/>
          <w:sz w:val="32"/>
          <w:szCs w:val="32"/>
        </w:rPr>
        <w:t>组织对“</w:t>
      </w:r>
      <w:r w:rsidR="003428DB" w:rsidRPr="003428DB">
        <w:rPr>
          <w:rFonts w:ascii="仿宋_GB2312" w:eastAsia="仿宋" w:hAnsi="仿宋_GB2312" w:cs="仿宋_GB2312" w:hint="eastAsia"/>
          <w:sz w:val="32"/>
          <w:szCs w:val="32"/>
        </w:rPr>
        <w:t>疫情防控资金</w:t>
      </w:r>
      <w:r w:rsidR="003428DB" w:rsidRPr="003428DB">
        <w:rPr>
          <w:rFonts w:ascii="仿宋_GB2312" w:eastAsia="仿宋" w:hAnsi="仿宋_GB2312" w:cs="仿宋_GB2312" w:hint="eastAsia"/>
          <w:sz w:val="32"/>
          <w:szCs w:val="32"/>
        </w:rPr>
        <w:t>-</w:t>
      </w:r>
      <w:r w:rsidR="003428DB" w:rsidRPr="003428DB">
        <w:rPr>
          <w:rFonts w:ascii="仿宋_GB2312" w:eastAsia="仿宋" w:hAnsi="仿宋_GB2312" w:cs="仿宋_GB2312" w:hint="eastAsia"/>
          <w:sz w:val="32"/>
          <w:szCs w:val="32"/>
        </w:rPr>
        <w:t>市直公立医院疫情防控核酸检测资金</w:t>
      </w:r>
      <w:r w:rsidRPr="003428DB">
        <w:rPr>
          <w:rFonts w:ascii="仿宋_GB2312" w:eastAsia="仿宋" w:hAnsi="仿宋_GB2312" w:cs="仿宋_GB2312" w:hint="eastAsia"/>
          <w:sz w:val="32"/>
          <w:szCs w:val="32"/>
        </w:rPr>
        <w:t>”等项</w:t>
      </w:r>
      <w:r w:rsidRPr="00FD4BAC">
        <w:rPr>
          <w:rFonts w:ascii="仿宋_GB2312" w:eastAsia="仿宋" w:hAnsi="仿宋_GB2312" w:cs="仿宋_GB2312" w:hint="eastAsia"/>
          <w:sz w:val="32"/>
          <w:szCs w:val="32"/>
        </w:rPr>
        <w:t>目开展了重点评价，涉及一般公共预算支出</w:t>
      </w:r>
      <w:r w:rsidR="003428DB">
        <w:rPr>
          <w:rFonts w:ascii="仿宋_GB2312" w:eastAsia="仿宋" w:hAnsi="仿宋_GB2312" w:cs="仿宋_GB2312" w:hint="eastAsia"/>
          <w:sz w:val="32"/>
          <w:szCs w:val="32"/>
        </w:rPr>
        <w:t>8174.18</w:t>
      </w:r>
      <w:r w:rsidRPr="00FD4BAC">
        <w:rPr>
          <w:rFonts w:ascii="仿宋_GB2312" w:eastAsia="仿宋" w:hAnsi="仿宋_GB2312" w:cs="仿宋_GB2312" w:hint="eastAsia"/>
          <w:sz w:val="32"/>
          <w:szCs w:val="32"/>
        </w:rPr>
        <w:t>万元，政府性基金预算支出</w:t>
      </w:r>
      <w:r w:rsidR="003428DB">
        <w:rPr>
          <w:rFonts w:ascii="仿宋_GB2312" w:eastAsia="仿宋" w:hAnsi="仿宋_GB2312" w:cs="仿宋_GB2312" w:hint="eastAsia"/>
          <w:sz w:val="32"/>
          <w:szCs w:val="32"/>
        </w:rPr>
        <w:t>0</w:t>
      </w:r>
      <w:r w:rsidRPr="00FD4BAC">
        <w:rPr>
          <w:rFonts w:ascii="仿宋_GB2312" w:eastAsia="仿宋" w:hAnsi="仿宋_GB2312" w:cs="仿宋_GB2312" w:hint="eastAsia"/>
          <w:sz w:val="32"/>
          <w:szCs w:val="32"/>
        </w:rPr>
        <w:t>万元。从评价情况来看，</w:t>
      </w:r>
      <w:r w:rsidR="003428DB">
        <w:rPr>
          <w:rFonts w:ascii="仿宋_GB2312" w:eastAsia="仿宋" w:hAnsi="仿宋_GB2312" w:cs="仿宋_GB2312" w:hint="eastAsia"/>
          <w:sz w:val="32"/>
          <w:szCs w:val="32"/>
        </w:rPr>
        <w:t>绩效执行情况较好，项目资金基本支出完毕，项目基本完成了绩效目标，执行过程中基本不存在偏差。</w:t>
      </w:r>
    </w:p>
    <w:p w:rsidR="00F73F83" w:rsidRPr="00FD4BAC" w:rsidRDefault="00B936AD">
      <w:pPr>
        <w:adjustRightInd w:val="0"/>
        <w:snapToGrid w:val="0"/>
        <w:spacing w:line="580" w:lineRule="exact"/>
        <w:ind w:leftChars="200" w:left="420" w:firstLineChars="100" w:firstLine="321"/>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（二）部门决算中项目绩效自评结果</w:t>
      </w:r>
    </w:p>
    <w:p w:rsidR="00F73F83" w:rsidRPr="00FD4BAC" w:rsidRDefault="00B936AD">
      <w:pPr>
        <w:adjustRightInd w:val="0"/>
        <w:snapToGrid w:val="0"/>
        <w:spacing w:line="580" w:lineRule="exact"/>
        <w:ind w:firstLineChars="200" w:firstLine="640"/>
        <w:rPr>
          <w:rFonts w:ascii="仿宋_GB2312" w:eastAsia="仿宋" w:hAnsi="仿宋_GB2312" w:cs="仿宋_GB2312"/>
          <w:sz w:val="32"/>
          <w:szCs w:val="32"/>
        </w:rPr>
      </w:pPr>
      <w:r w:rsidRPr="00FD4BAC">
        <w:rPr>
          <w:rFonts w:ascii="仿宋_GB2312" w:eastAsia="仿宋" w:hAnsi="仿宋_GB2312" w:cs="仿宋_GB2312" w:hint="eastAsia"/>
          <w:sz w:val="32"/>
          <w:szCs w:val="32"/>
        </w:rPr>
        <w:t>本部门在今年部门决算公开中反映</w:t>
      </w:r>
      <w:r w:rsidR="003428DB" w:rsidRPr="003428DB">
        <w:rPr>
          <w:rFonts w:ascii="仿宋_GB2312" w:eastAsia="仿宋" w:hAnsi="仿宋_GB2312" w:cs="仿宋_GB2312" w:hint="eastAsia"/>
          <w:sz w:val="32"/>
          <w:szCs w:val="32"/>
        </w:rPr>
        <w:t>疫情防控资金</w:t>
      </w:r>
      <w:r w:rsidR="003428DB" w:rsidRPr="003428DB">
        <w:rPr>
          <w:rFonts w:ascii="仿宋_GB2312" w:eastAsia="仿宋" w:hAnsi="仿宋_GB2312" w:cs="仿宋_GB2312" w:hint="eastAsia"/>
          <w:sz w:val="32"/>
          <w:szCs w:val="32"/>
        </w:rPr>
        <w:t>-</w:t>
      </w:r>
      <w:r w:rsidR="003428DB" w:rsidRPr="003428DB">
        <w:rPr>
          <w:rFonts w:ascii="仿宋_GB2312" w:eastAsia="仿宋" w:hAnsi="仿宋_GB2312" w:cs="仿宋_GB2312" w:hint="eastAsia"/>
          <w:sz w:val="32"/>
          <w:szCs w:val="32"/>
        </w:rPr>
        <w:t>市直公立医院疫情防控核酸检测资金</w:t>
      </w:r>
      <w:r w:rsidRPr="00FD4BAC">
        <w:rPr>
          <w:rFonts w:ascii="仿宋_GB2312" w:eastAsia="仿宋" w:hAnsi="仿宋_GB2312" w:cs="仿宋_GB2312" w:hint="eastAsia"/>
          <w:sz w:val="32"/>
          <w:szCs w:val="32"/>
        </w:rPr>
        <w:t>项目及</w:t>
      </w:r>
      <w:r w:rsidR="003428DB" w:rsidRPr="003428DB">
        <w:rPr>
          <w:rFonts w:ascii="仿宋_GB2312" w:eastAsia="仿宋" w:hAnsi="仿宋_GB2312" w:cs="仿宋_GB2312" w:hint="eastAsia"/>
          <w:sz w:val="32"/>
          <w:szCs w:val="32"/>
        </w:rPr>
        <w:t>中医院中医药服务出口基地</w:t>
      </w:r>
      <w:r w:rsidRPr="00FD4BAC">
        <w:rPr>
          <w:rFonts w:ascii="仿宋_GB2312" w:eastAsia="仿宋" w:hAnsi="仿宋_GB2312" w:cs="仿宋_GB2312" w:hint="eastAsia"/>
          <w:sz w:val="32"/>
          <w:szCs w:val="32"/>
        </w:rPr>
        <w:t>项目等</w:t>
      </w:r>
      <w:r w:rsidR="003428DB">
        <w:rPr>
          <w:rFonts w:ascii="仿宋_GB2312" w:eastAsia="仿宋" w:hAnsi="仿宋_GB2312" w:cs="仿宋_GB2312" w:hint="eastAsia"/>
          <w:sz w:val="32"/>
          <w:szCs w:val="32"/>
        </w:rPr>
        <w:t>2</w:t>
      </w:r>
      <w:r w:rsidRPr="00FD4BAC">
        <w:rPr>
          <w:rFonts w:ascii="仿宋_GB2312" w:eastAsia="仿宋" w:hAnsi="仿宋_GB2312" w:cs="仿宋_GB2312" w:hint="eastAsia"/>
          <w:sz w:val="32"/>
          <w:szCs w:val="32"/>
        </w:rPr>
        <w:t>个项目绩效自评结果。</w:t>
      </w:r>
    </w:p>
    <w:p w:rsidR="00F73F83" w:rsidRPr="00FD4BAC" w:rsidRDefault="003428DB" w:rsidP="003428D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sidRPr="003428DB">
        <w:rPr>
          <w:rFonts w:ascii="仿宋_GB2312" w:eastAsia="仿宋" w:hAnsi="仿宋_GB2312" w:cs="仿宋_GB2312" w:hint="eastAsia"/>
          <w:sz w:val="32"/>
          <w:szCs w:val="32"/>
        </w:rPr>
        <w:t>疫情防控资金</w:t>
      </w:r>
      <w:r w:rsidRPr="003428DB">
        <w:rPr>
          <w:rFonts w:ascii="仿宋_GB2312" w:eastAsia="仿宋" w:hAnsi="仿宋_GB2312" w:cs="仿宋_GB2312" w:hint="eastAsia"/>
          <w:sz w:val="32"/>
          <w:szCs w:val="32"/>
        </w:rPr>
        <w:t>-</w:t>
      </w:r>
      <w:r w:rsidRPr="003428DB">
        <w:rPr>
          <w:rFonts w:ascii="仿宋_GB2312" w:eastAsia="仿宋" w:hAnsi="仿宋_GB2312" w:cs="仿宋_GB2312" w:hint="eastAsia"/>
          <w:sz w:val="32"/>
          <w:szCs w:val="32"/>
        </w:rPr>
        <w:t>市直公立医院疫情防控核酸检测资金</w:t>
      </w:r>
      <w:r w:rsidR="00B936AD" w:rsidRPr="00FD4BAC">
        <w:rPr>
          <w:rFonts w:ascii="仿宋_GB2312" w:eastAsia="仿宋" w:hAnsi="仿宋_GB2312" w:cs="仿宋_GB2312" w:hint="eastAsia"/>
          <w:sz w:val="32"/>
          <w:szCs w:val="32"/>
        </w:rPr>
        <w:t>项目自评综述：根据年初设定的绩效目标，</w:t>
      </w:r>
      <w:r>
        <w:rPr>
          <w:rFonts w:ascii="仿宋_GB2312" w:eastAsia="仿宋" w:hAnsi="仿宋_GB2312" w:cs="仿宋_GB2312" w:hint="eastAsia"/>
          <w:sz w:val="32"/>
          <w:szCs w:val="32"/>
        </w:rPr>
        <w:t>该</w:t>
      </w:r>
      <w:r w:rsidR="00B936AD" w:rsidRPr="00FD4BAC">
        <w:rPr>
          <w:rFonts w:ascii="仿宋_GB2312" w:eastAsia="仿宋" w:hAnsi="仿宋_GB2312" w:cs="仿宋_GB2312" w:hint="eastAsia"/>
          <w:sz w:val="32"/>
          <w:szCs w:val="32"/>
        </w:rPr>
        <w:t>项目绩效自评得分为</w:t>
      </w:r>
      <w:r>
        <w:rPr>
          <w:rFonts w:ascii="仿宋_GB2312" w:eastAsia="仿宋" w:hAnsi="仿宋_GB2312" w:cs="仿宋_GB2312" w:hint="eastAsia"/>
          <w:sz w:val="32"/>
          <w:szCs w:val="32"/>
        </w:rPr>
        <w:t>100</w:t>
      </w:r>
      <w:r w:rsidR="00B936AD" w:rsidRPr="00FD4BAC">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32.22</w:t>
      </w:r>
      <w:r w:rsidR="00B936AD" w:rsidRPr="00FD4BAC">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32.22</w:t>
      </w:r>
      <w:r w:rsidR="00B936AD" w:rsidRPr="00FD4BAC">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sidR="00B936AD" w:rsidRPr="00FD4BAC">
        <w:rPr>
          <w:rFonts w:ascii="仿宋_GB2312" w:eastAsia="仿宋" w:hAnsi="仿宋_GB2312" w:cs="仿宋_GB2312" w:hint="eastAsia"/>
          <w:sz w:val="32"/>
          <w:szCs w:val="32"/>
        </w:rPr>
        <w:t>。项目绩效目标完成情况：</w:t>
      </w:r>
      <w:r>
        <w:rPr>
          <w:rFonts w:ascii="仿宋_GB2312" w:eastAsia="仿宋" w:hAnsi="仿宋_GB2312" w:cs="仿宋_GB2312" w:hint="eastAsia"/>
          <w:sz w:val="32"/>
          <w:szCs w:val="32"/>
        </w:rPr>
        <w:t>通过项目实施，基本完成了绩效目标，保证了患者安全，核酸检测工作圆满完成，未发生感染等事故。</w:t>
      </w:r>
    </w:p>
    <w:p w:rsidR="00F73F83" w:rsidRDefault="003428DB">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sidRPr="003428DB">
        <w:rPr>
          <w:rFonts w:ascii="仿宋_GB2312" w:eastAsia="仿宋" w:hAnsi="仿宋_GB2312" w:cs="仿宋_GB2312" w:hint="eastAsia"/>
          <w:sz w:val="32"/>
          <w:szCs w:val="32"/>
        </w:rPr>
        <w:t>中医院中医药服务出口基地</w:t>
      </w:r>
      <w:r>
        <w:rPr>
          <w:rFonts w:ascii="仿宋_GB2312" w:eastAsia="仿宋" w:hAnsi="仿宋_GB2312" w:cs="仿宋_GB2312" w:hint="eastAsia"/>
          <w:sz w:val="32"/>
          <w:szCs w:val="32"/>
        </w:rPr>
        <w:t>项目绩效自评综述：</w:t>
      </w:r>
      <w:r w:rsidRPr="00FD4BAC">
        <w:rPr>
          <w:rFonts w:ascii="仿宋_GB2312" w:eastAsia="仿宋" w:hAnsi="仿宋_GB2312" w:cs="仿宋_GB2312" w:hint="eastAsia"/>
          <w:sz w:val="32"/>
          <w:szCs w:val="32"/>
        </w:rPr>
        <w:t>根据年初设定的绩效目标，</w:t>
      </w:r>
      <w:r>
        <w:rPr>
          <w:rFonts w:ascii="仿宋_GB2312" w:eastAsia="仿宋" w:hAnsi="仿宋_GB2312" w:cs="仿宋_GB2312" w:hint="eastAsia"/>
          <w:sz w:val="32"/>
          <w:szCs w:val="32"/>
        </w:rPr>
        <w:t>该</w:t>
      </w:r>
      <w:r w:rsidRPr="00FD4BAC">
        <w:rPr>
          <w:rFonts w:ascii="仿宋_GB2312" w:eastAsia="仿宋" w:hAnsi="仿宋_GB2312" w:cs="仿宋_GB2312" w:hint="eastAsia"/>
          <w:sz w:val="32"/>
          <w:szCs w:val="32"/>
        </w:rPr>
        <w:t>项目绩效自评得分为</w:t>
      </w:r>
      <w:r>
        <w:rPr>
          <w:rFonts w:ascii="仿宋_GB2312" w:eastAsia="仿宋" w:hAnsi="仿宋_GB2312" w:cs="仿宋_GB2312" w:hint="eastAsia"/>
          <w:sz w:val="32"/>
          <w:szCs w:val="32"/>
        </w:rPr>
        <w:t>98</w:t>
      </w:r>
      <w:r w:rsidRPr="00FD4BAC">
        <w:rPr>
          <w:rFonts w:ascii="仿宋_GB2312" w:eastAsia="仿宋" w:hAnsi="仿宋_GB2312" w:cs="仿宋_GB2312" w:hint="eastAsia"/>
          <w:sz w:val="32"/>
          <w:szCs w:val="32"/>
        </w:rPr>
        <w:t>分（绩效自评表附后）。全年预算数为</w:t>
      </w:r>
      <w:r>
        <w:rPr>
          <w:rFonts w:ascii="仿宋_GB2312" w:eastAsia="仿宋" w:hAnsi="仿宋_GB2312" w:cs="仿宋_GB2312" w:hint="eastAsia"/>
          <w:sz w:val="32"/>
          <w:szCs w:val="32"/>
        </w:rPr>
        <w:t>300</w:t>
      </w:r>
      <w:r w:rsidRPr="00FD4BAC">
        <w:rPr>
          <w:rFonts w:ascii="仿宋_GB2312" w:eastAsia="仿宋" w:hAnsi="仿宋_GB2312" w:cs="仿宋_GB2312" w:hint="eastAsia"/>
          <w:sz w:val="32"/>
          <w:szCs w:val="32"/>
        </w:rPr>
        <w:t>万元，执行数为</w:t>
      </w:r>
      <w:r>
        <w:rPr>
          <w:rFonts w:ascii="仿宋_GB2312" w:eastAsia="仿宋" w:hAnsi="仿宋_GB2312" w:cs="仿宋_GB2312" w:hint="eastAsia"/>
          <w:sz w:val="32"/>
          <w:szCs w:val="32"/>
        </w:rPr>
        <w:t>300</w:t>
      </w:r>
      <w:r w:rsidRPr="00FD4BAC">
        <w:rPr>
          <w:rFonts w:ascii="仿宋_GB2312" w:eastAsia="仿宋" w:hAnsi="仿宋_GB2312" w:cs="仿宋_GB2312" w:hint="eastAsia"/>
          <w:sz w:val="32"/>
          <w:szCs w:val="32"/>
        </w:rPr>
        <w:t>万元，完成预算的</w:t>
      </w:r>
      <w:r>
        <w:rPr>
          <w:rFonts w:ascii="仿宋_GB2312" w:eastAsia="仿宋" w:hAnsi="仿宋_GB2312" w:cs="仿宋_GB2312" w:hint="eastAsia"/>
          <w:sz w:val="32"/>
          <w:szCs w:val="32"/>
        </w:rPr>
        <w:t>100%</w:t>
      </w:r>
      <w:r w:rsidRPr="00FD4BAC">
        <w:rPr>
          <w:rFonts w:ascii="仿宋_GB2312" w:eastAsia="仿宋" w:hAnsi="仿宋_GB2312" w:cs="仿宋_GB2312" w:hint="eastAsia"/>
          <w:sz w:val="32"/>
          <w:szCs w:val="32"/>
        </w:rPr>
        <w:t>。项目绩效目标完成情况：</w:t>
      </w:r>
      <w:r>
        <w:rPr>
          <w:rFonts w:ascii="仿宋_GB2312" w:eastAsia="仿宋" w:hAnsi="仿宋_GB2312" w:cs="仿宋_GB2312" w:hint="eastAsia"/>
          <w:sz w:val="32"/>
          <w:szCs w:val="32"/>
        </w:rPr>
        <w:t>通过项目实施，基本完成了绩效目标，完成了中医药服务出口基地建设的相关设备及人员配置，有效对外宣传了中医药的作用。良好的完成了项目绩效目</w:t>
      </w:r>
      <w:r>
        <w:rPr>
          <w:rFonts w:ascii="仿宋_GB2312" w:eastAsia="仿宋" w:hAnsi="仿宋_GB2312" w:cs="仿宋_GB2312" w:hint="eastAsia"/>
          <w:sz w:val="32"/>
          <w:szCs w:val="32"/>
        </w:rPr>
        <w:lastRenderedPageBreak/>
        <w:t>标。</w:t>
      </w:r>
    </w:p>
    <w:p w:rsidR="0076554D" w:rsidRPr="00FD4BAC" w:rsidRDefault="0076554D" w:rsidP="0076554D">
      <w:pPr>
        <w:adjustRightInd w:val="0"/>
        <w:snapToGrid w:val="0"/>
        <w:spacing w:line="580" w:lineRule="exact"/>
        <w:ind w:left="640"/>
        <w:rPr>
          <w:rFonts w:ascii="仿宋_GB2312" w:eastAsia="仿宋" w:hAnsi="仿宋_GB2312" w:cs="仿宋_GB2312"/>
          <w:sz w:val="32"/>
          <w:szCs w:val="32"/>
        </w:rPr>
      </w:pPr>
    </w:p>
    <w:tbl>
      <w:tblPr>
        <w:tblW w:w="7520" w:type="dxa"/>
        <w:tblInd w:w="672" w:type="dxa"/>
        <w:tblLook w:val="04A0"/>
      </w:tblPr>
      <w:tblGrid>
        <w:gridCol w:w="760"/>
        <w:gridCol w:w="1420"/>
        <w:gridCol w:w="940"/>
        <w:gridCol w:w="1720"/>
        <w:gridCol w:w="880"/>
        <w:gridCol w:w="760"/>
        <w:gridCol w:w="520"/>
        <w:gridCol w:w="520"/>
      </w:tblGrid>
      <w:tr w:rsidR="005C23CE" w:rsidRPr="005C23CE" w:rsidTr="005C23CE">
        <w:trPr>
          <w:trHeight w:val="195"/>
        </w:trPr>
        <w:tc>
          <w:tcPr>
            <w:tcW w:w="7520" w:type="dxa"/>
            <w:gridSpan w:val="8"/>
            <w:tcBorders>
              <w:top w:val="nil"/>
              <w:left w:val="nil"/>
              <w:bottom w:val="nil"/>
              <w:right w:val="single" w:sz="4" w:space="0" w:color="000000"/>
            </w:tcBorders>
            <w:shd w:val="clear" w:color="auto" w:fill="auto"/>
            <w:noWrap/>
            <w:vAlign w:val="center"/>
            <w:hideMark/>
          </w:tcPr>
          <w:p w:rsidR="005C23CE" w:rsidRPr="005C23CE" w:rsidRDefault="005C23CE" w:rsidP="005C23CE">
            <w:pPr>
              <w:widowControl/>
              <w:jc w:val="center"/>
              <w:rPr>
                <w:rFonts w:ascii="黑体" w:eastAsia="黑体" w:hAnsi="黑体"/>
                <w:color w:val="000000"/>
                <w:kern w:val="0"/>
                <w:sz w:val="14"/>
                <w:szCs w:val="14"/>
              </w:rPr>
            </w:pPr>
            <w:r w:rsidRPr="005C23CE">
              <w:rPr>
                <w:rFonts w:ascii="黑体" w:eastAsia="黑体" w:hAnsi="黑体" w:hint="eastAsia"/>
                <w:color w:val="000000"/>
                <w:kern w:val="0"/>
                <w:sz w:val="14"/>
                <w:szCs w:val="14"/>
              </w:rPr>
              <w:t>2021年度市级项目支出绩效自评表</w:t>
            </w:r>
          </w:p>
        </w:tc>
      </w:tr>
      <w:tr w:rsidR="005C23CE" w:rsidRPr="005C23CE" w:rsidTr="005C23CE">
        <w:trPr>
          <w:trHeight w:val="195"/>
        </w:trPr>
        <w:tc>
          <w:tcPr>
            <w:tcW w:w="3120" w:type="dxa"/>
            <w:gridSpan w:val="3"/>
            <w:tcBorders>
              <w:top w:val="nil"/>
              <w:left w:val="nil"/>
              <w:bottom w:val="single" w:sz="4" w:space="0" w:color="000000"/>
              <w:right w:val="nil"/>
            </w:tcBorders>
            <w:shd w:val="clear" w:color="auto" w:fill="auto"/>
            <w:noWrap/>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填报单位（盖章）：秦皇岛市中医医院</w:t>
            </w:r>
          </w:p>
        </w:tc>
        <w:tc>
          <w:tcPr>
            <w:tcW w:w="172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88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76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1040" w:type="dxa"/>
            <w:gridSpan w:val="2"/>
            <w:tcBorders>
              <w:top w:val="nil"/>
              <w:left w:val="nil"/>
              <w:bottom w:val="nil"/>
              <w:right w:val="single" w:sz="4" w:space="0" w:color="000000"/>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金额单位：万元</w:t>
            </w:r>
          </w:p>
        </w:tc>
      </w:tr>
      <w:tr w:rsidR="005C23CE" w:rsidRPr="005C23CE" w:rsidTr="005C23CE">
        <w:trPr>
          <w:trHeight w:val="390"/>
        </w:trPr>
        <w:tc>
          <w:tcPr>
            <w:tcW w:w="760" w:type="dxa"/>
            <w:tcBorders>
              <w:top w:val="nil"/>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一、</w:t>
            </w:r>
            <w:r w:rsidRPr="005C23CE">
              <w:rPr>
                <w:color w:val="000000"/>
                <w:kern w:val="0"/>
                <w:sz w:val="14"/>
                <w:szCs w:val="14"/>
              </w:rPr>
              <w:t> </w:t>
            </w:r>
            <w:r w:rsidRPr="005C23CE">
              <w:rPr>
                <w:rFonts w:ascii="宋体" w:hAnsi="宋体" w:hint="eastAsia"/>
                <w:color w:val="000000"/>
                <w:kern w:val="0"/>
                <w:sz w:val="14"/>
                <w:szCs w:val="14"/>
              </w:rPr>
              <w:t>基本情况</w:t>
            </w: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项目名称</w:t>
            </w:r>
          </w:p>
        </w:tc>
        <w:tc>
          <w:tcPr>
            <w:tcW w:w="5340" w:type="dxa"/>
            <w:gridSpan w:val="6"/>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疫情防控资金-市直公立医院疫情防控核酸检测资金</w:t>
            </w:r>
          </w:p>
        </w:tc>
      </w:tr>
      <w:tr w:rsidR="005C23CE" w:rsidRPr="005C23CE" w:rsidTr="005C23CE">
        <w:trPr>
          <w:trHeight w:val="195"/>
        </w:trPr>
        <w:tc>
          <w:tcPr>
            <w:tcW w:w="760" w:type="dxa"/>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主管部门</w:t>
            </w:r>
          </w:p>
        </w:tc>
        <w:tc>
          <w:tcPr>
            <w:tcW w:w="2660" w:type="dxa"/>
            <w:gridSpan w:val="2"/>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秦皇岛市卫生健康委员会</w:t>
            </w:r>
          </w:p>
        </w:tc>
        <w:tc>
          <w:tcPr>
            <w:tcW w:w="88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实施单位</w:t>
            </w:r>
          </w:p>
        </w:tc>
        <w:tc>
          <w:tcPr>
            <w:tcW w:w="1800" w:type="dxa"/>
            <w:gridSpan w:val="3"/>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秦皇岛市中医医院</w:t>
            </w:r>
          </w:p>
        </w:tc>
      </w:tr>
      <w:tr w:rsidR="005C23CE" w:rsidRPr="005C23CE" w:rsidTr="005C23CE">
        <w:trPr>
          <w:trHeight w:val="195"/>
        </w:trPr>
        <w:tc>
          <w:tcPr>
            <w:tcW w:w="7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二、预算执行情况</w:t>
            </w: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年初预算数</w:t>
            </w:r>
          </w:p>
        </w:tc>
        <w:tc>
          <w:tcPr>
            <w:tcW w:w="260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全年预算数</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全年执行数</w:t>
            </w:r>
          </w:p>
        </w:tc>
        <w:tc>
          <w:tcPr>
            <w:tcW w:w="104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执行率（%）</w:t>
            </w:r>
          </w:p>
        </w:tc>
      </w:tr>
      <w:tr w:rsidR="005C23CE" w:rsidRPr="005C23CE" w:rsidTr="005C23CE">
        <w:trPr>
          <w:trHeight w:val="390"/>
        </w:trPr>
        <w:tc>
          <w:tcPr>
            <w:tcW w:w="76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年度项目资金总额</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32.22</w:t>
            </w:r>
          </w:p>
        </w:tc>
        <w:tc>
          <w:tcPr>
            <w:tcW w:w="260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32.22</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32.22</w:t>
            </w:r>
          </w:p>
        </w:tc>
        <w:tc>
          <w:tcPr>
            <w:tcW w:w="104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100%</w:t>
            </w:r>
          </w:p>
        </w:tc>
      </w:tr>
      <w:tr w:rsidR="005C23CE" w:rsidRPr="005C23CE" w:rsidTr="005C23CE">
        <w:trPr>
          <w:trHeight w:val="390"/>
        </w:trPr>
        <w:tc>
          <w:tcPr>
            <w:tcW w:w="76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其中：当年财政拨款</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32.22</w:t>
            </w:r>
          </w:p>
        </w:tc>
        <w:tc>
          <w:tcPr>
            <w:tcW w:w="260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32.22</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32.22</w:t>
            </w:r>
          </w:p>
        </w:tc>
        <w:tc>
          <w:tcPr>
            <w:tcW w:w="104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100%</w:t>
            </w:r>
          </w:p>
        </w:tc>
      </w:tr>
      <w:tr w:rsidR="005C23CE" w:rsidRPr="005C23CE" w:rsidTr="005C23CE">
        <w:trPr>
          <w:trHeight w:val="195"/>
        </w:trPr>
        <w:tc>
          <w:tcPr>
            <w:tcW w:w="76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上年结转资金</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260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04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r>
      <w:tr w:rsidR="005C23CE" w:rsidRPr="005C23CE" w:rsidTr="005C23CE">
        <w:trPr>
          <w:trHeight w:val="195"/>
        </w:trPr>
        <w:tc>
          <w:tcPr>
            <w:tcW w:w="76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其他资金</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260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04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r>
      <w:tr w:rsidR="005C23CE" w:rsidRPr="005C23CE" w:rsidTr="005C23CE">
        <w:trPr>
          <w:trHeight w:val="195"/>
        </w:trPr>
        <w:tc>
          <w:tcPr>
            <w:tcW w:w="76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三、目标完成情况</w:t>
            </w:r>
          </w:p>
        </w:tc>
        <w:tc>
          <w:tcPr>
            <w:tcW w:w="2360" w:type="dxa"/>
            <w:gridSpan w:val="2"/>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年度预期目标</w:t>
            </w:r>
          </w:p>
        </w:tc>
        <w:tc>
          <w:tcPr>
            <w:tcW w:w="3360" w:type="dxa"/>
            <w:gridSpan w:val="3"/>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具体完成情况</w:t>
            </w:r>
          </w:p>
        </w:tc>
        <w:tc>
          <w:tcPr>
            <w:tcW w:w="1040" w:type="dxa"/>
            <w:gridSpan w:val="2"/>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总体完成率</w:t>
            </w:r>
          </w:p>
        </w:tc>
      </w:tr>
      <w:tr w:rsidR="005C23CE" w:rsidRPr="005C23CE" w:rsidTr="005C23CE">
        <w:trPr>
          <w:trHeight w:val="195"/>
        </w:trPr>
        <w:tc>
          <w:tcPr>
            <w:tcW w:w="76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2360" w:type="dxa"/>
            <w:gridSpan w:val="2"/>
            <w:tcBorders>
              <w:top w:val="nil"/>
              <w:left w:val="nil"/>
              <w:bottom w:val="nil"/>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完成核酸检测任务</w:t>
            </w:r>
          </w:p>
        </w:tc>
        <w:tc>
          <w:tcPr>
            <w:tcW w:w="3360" w:type="dxa"/>
            <w:gridSpan w:val="3"/>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完成</w:t>
            </w:r>
          </w:p>
        </w:tc>
        <w:tc>
          <w:tcPr>
            <w:tcW w:w="1040" w:type="dxa"/>
            <w:gridSpan w:val="2"/>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p>
        </w:tc>
      </w:tr>
      <w:tr w:rsidR="005C23CE" w:rsidRPr="005C23CE" w:rsidTr="005C23CE">
        <w:trPr>
          <w:trHeight w:val="390"/>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四、年度绩效指标完成情况</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一级指标</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二级指标</w:t>
            </w:r>
          </w:p>
        </w:tc>
        <w:tc>
          <w:tcPr>
            <w:tcW w:w="1720" w:type="dxa"/>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三级指标</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预期指标值</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实际完成值</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分值</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自评得分</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val="restart"/>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产出指标（50）</w:t>
            </w:r>
          </w:p>
        </w:tc>
        <w:tc>
          <w:tcPr>
            <w:tcW w:w="94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数量指标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每次派出外检核酸检测人数</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≥4人次</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4人次</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质量指标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核酸检测任务完成率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15</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15</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时效指标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核酸检测报告结果出具及时率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15</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15</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成本指标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支出金额</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32.22</w:t>
            </w:r>
            <w:r w:rsidRPr="005C23CE">
              <w:rPr>
                <w:rFonts w:ascii="宋体" w:hAnsi="宋体" w:hint="eastAsia"/>
                <w:color w:val="000000"/>
                <w:kern w:val="0"/>
                <w:sz w:val="14"/>
                <w:szCs w:val="14"/>
              </w:rPr>
              <w:t>万元</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32.22</w:t>
            </w:r>
            <w:r w:rsidRPr="005C23CE">
              <w:rPr>
                <w:rFonts w:ascii="宋体" w:hAnsi="宋体" w:hint="eastAsia"/>
                <w:color w:val="000000"/>
                <w:kern w:val="0"/>
                <w:sz w:val="14"/>
                <w:szCs w:val="14"/>
              </w:rPr>
              <w:t>万元</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val="restart"/>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效益指标（30）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经济效益指标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补助到位后医院财政补助收入增长率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rFonts w:ascii="宋体" w:hAnsi="宋体" w:hint="eastAsia"/>
                <w:color w:val="000000"/>
                <w:kern w:val="0"/>
                <w:sz w:val="14"/>
                <w:szCs w:val="14"/>
              </w:rPr>
              <w:t>≥</w:t>
            </w:r>
            <w:r w:rsidRPr="005C23CE">
              <w:rPr>
                <w:color w:val="000000"/>
                <w:kern w:val="0"/>
                <w:sz w:val="14"/>
                <w:szCs w:val="14"/>
              </w:rPr>
              <w:t>2%</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4%</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single" w:sz="4" w:space="0" w:color="000000"/>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社会效益指标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保障服务水平</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提升</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提升</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single" w:sz="4" w:space="0" w:color="000000"/>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生态效益指标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核酸检测后医疗垃圾处理率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r>
      <w:tr w:rsidR="005C23CE" w:rsidRPr="005C23CE" w:rsidTr="005C23CE">
        <w:trPr>
          <w:trHeight w:val="390"/>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single" w:sz="4" w:space="0" w:color="000000"/>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可持续影响指标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持续服务率(%)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rFonts w:ascii="宋体" w:hAnsi="宋体" w:hint="eastAsia"/>
                <w:color w:val="000000"/>
                <w:kern w:val="0"/>
                <w:sz w:val="14"/>
                <w:szCs w:val="14"/>
              </w:rPr>
              <w:t>≥</w:t>
            </w:r>
            <w:r w:rsidRPr="005C23CE">
              <w:rPr>
                <w:color w:val="000000"/>
                <w:kern w:val="0"/>
                <w:sz w:val="14"/>
                <w:szCs w:val="14"/>
              </w:rPr>
              <w:t>90%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95%</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6</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6</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满意度指标（10）</w:t>
            </w: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满意度指标</w:t>
            </w:r>
          </w:p>
        </w:tc>
        <w:tc>
          <w:tcPr>
            <w:tcW w:w="172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核酸检测患者满意率</w:t>
            </w:r>
          </w:p>
        </w:tc>
        <w:tc>
          <w:tcPr>
            <w:tcW w:w="88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rFonts w:ascii="宋体" w:hAnsi="宋体" w:hint="eastAsia"/>
                <w:color w:val="000000"/>
                <w:kern w:val="0"/>
                <w:sz w:val="14"/>
                <w:szCs w:val="14"/>
              </w:rPr>
              <w:t>≥</w:t>
            </w:r>
            <w:r w:rsidRPr="005C23CE">
              <w:rPr>
                <w:color w:val="000000"/>
                <w:kern w:val="0"/>
                <w:sz w:val="14"/>
                <w:szCs w:val="14"/>
              </w:rPr>
              <w:t>90%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95%</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vMerge/>
            <w:tcBorders>
              <w:top w:val="single" w:sz="4" w:space="0" w:color="000000"/>
              <w:left w:val="nil"/>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940" w:type="dxa"/>
            <w:vMerge/>
            <w:tcBorders>
              <w:top w:val="nil"/>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720" w:type="dxa"/>
            <w:tcBorders>
              <w:top w:val="nil"/>
              <w:left w:val="nil"/>
              <w:bottom w:val="nil"/>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满意度大于等于90%的得10分；小于90%且大于等于80%得8分，小于80%且大于等于60%得5分，小于60%不得分。</w:t>
            </w:r>
          </w:p>
        </w:tc>
        <w:tc>
          <w:tcPr>
            <w:tcW w:w="88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76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52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52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r>
      <w:tr w:rsidR="005C23CE" w:rsidRPr="005C23CE" w:rsidTr="005C23CE">
        <w:trPr>
          <w:trHeight w:val="390"/>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42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预算执行率（10）</w:t>
            </w:r>
          </w:p>
        </w:tc>
        <w:tc>
          <w:tcPr>
            <w:tcW w:w="94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预算执行率</w:t>
            </w:r>
          </w:p>
        </w:tc>
        <w:tc>
          <w:tcPr>
            <w:tcW w:w="1720" w:type="dxa"/>
            <w:tcBorders>
              <w:top w:val="single" w:sz="4" w:space="0" w:color="auto"/>
              <w:left w:val="nil"/>
              <w:bottom w:val="nil"/>
              <w:right w:val="nil"/>
            </w:tcBorders>
            <w:shd w:val="clear" w:color="auto" w:fill="auto"/>
            <w:vAlign w:val="center"/>
            <w:hideMark/>
          </w:tcPr>
          <w:p w:rsidR="005C23CE" w:rsidRPr="005C23CE" w:rsidRDefault="005C23CE" w:rsidP="005C23CE">
            <w:pPr>
              <w:widowControl/>
              <w:jc w:val="left"/>
              <w:rPr>
                <w:rFonts w:ascii="宋体" w:hAnsi="宋体"/>
                <w:kern w:val="0"/>
                <w:sz w:val="14"/>
                <w:szCs w:val="14"/>
              </w:rPr>
            </w:pPr>
            <w:r w:rsidRPr="005C23CE">
              <w:rPr>
                <w:rFonts w:ascii="宋体" w:hAnsi="宋体" w:hint="eastAsia"/>
                <w:kern w:val="0"/>
                <w:sz w:val="14"/>
                <w:szCs w:val="14"/>
              </w:rPr>
              <w:t>项目完成且执行数控制在年度预算规模之内，得10分；项目尚未完成，预算执行率小于90%且大于等于80%得7分，小于80%且大于等于60%得5分，小于60%不得分。</w:t>
            </w:r>
          </w:p>
        </w:tc>
        <w:tc>
          <w:tcPr>
            <w:tcW w:w="88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 xml:space="preserve">　</w:t>
            </w:r>
          </w:p>
        </w:tc>
        <w:tc>
          <w:tcPr>
            <w:tcW w:w="76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10</w:t>
            </w:r>
          </w:p>
        </w:tc>
        <w:tc>
          <w:tcPr>
            <w:tcW w:w="520" w:type="dxa"/>
            <w:tcBorders>
              <w:top w:val="single" w:sz="4" w:space="0" w:color="auto"/>
              <w:left w:val="nil"/>
              <w:bottom w:val="nil"/>
              <w:right w:val="single" w:sz="4" w:space="0" w:color="000000"/>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10</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6240" w:type="dxa"/>
            <w:gridSpan w:val="6"/>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总分（共计100分）</w:t>
            </w:r>
          </w:p>
        </w:tc>
        <w:tc>
          <w:tcPr>
            <w:tcW w:w="520" w:type="dxa"/>
            <w:tcBorders>
              <w:top w:val="single" w:sz="4" w:space="0" w:color="auto"/>
              <w:left w:val="nil"/>
              <w:bottom w:val="single" w:sz="4" w:space="0" w:color="auto"/>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r>
      <w:tr w:rsidR="005C23CE" w:rsidRPr="005C23CE" w:rsidTr="005C23CE">
        <w:trPr>
          <w:trHeight w:val="195"/>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6240" w:type="dxa"/>
            <w:gridSpan w:val="6"/>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评价等级（优：90（含）-100分；良：80（含）-90分；中60（含）-80分；差：60分以下）</w:t>
            </w:r>
          </w:p>
        </w:tc>
        <w:tc>
          <w:tcPr>
            <w:tcW w:w="52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优</w:t>
            </w:r>
          </w:p>
        </w:tc>
      </w:tr>
      <w:tr w:rsidR="005C23CE" w:rsidRPr="005C23CE" w:rsidTr="005C23CE">
        <w:trPr>
          <w:trHeight w:val="1170"/>
        </w:trPr>
        <w:tc>
          <w:tcPr>
            <w:tcW w:w="760" w:type="dxa"/>
            <w:tcBorders>
              <w:top w:val="nil"/>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五、</w:t>
            </w:r>
            <w:r w:rsidRPr="005C23CE">
              <w:rPr>
                <w:color w:val="000000"/>
                <w:kern w:val="0"/>
                <w:sz w:val="14"/>
                <w:szCs w:val="14"/>
              </w:rPr>
              <w:t> </w:t>
            </w:r>
            <w:r w:rsidRPr="005C23CE">
              <w:rPr>
                <w:rFonts w:ascii="宋体" w:hAnsi="宋体" w:hint="eastAsia"/>
                <w:color w:val="000000"/>
                <w:kern w:val="0"/>
                <w:sz w:val="14"/>
                <w:szCs w:val="14"/>
              </w:rPr>
              <w:t>存在问题、原因及下一步整改措施</w:t>
            </w:r>
          </w:p>
        </w:tc>
        <w:tc>
          <w:tcPr>
            <w:tcW w:w="6760" w:type="dxa"/>
            <w:gridSpan w:val="7"/>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(主要填写项目绩效存在问题及原因分析,下一步拟采取的纠偏措施及对策建议,项目绩效目标指标设定存在的问题及修改完善措施)</w:t>
            </w:r>
          </w:p>
        </w:tc>
      </w:tr>
    </w:tbl>
    <w:p w:rsidR="00F73F83" w:rsidRDefault="00F73F83">
      <w:pPr>
        <w:adjustRightInd w:val="0"/>
        <w:snapToGrid w:val="0"/>
        <w:spacing w:line="580" w:lineRule="exact"/>
        <w:ind w:leftChars="200" w:left="420" w:firstLineChars="100" w:firstLine="320"/>
        <w:rPr>
          <w:rFonts w:ascii="仿宋_GB2312" w:eastAsia="仿宋" w:hAnsi="仿宋_GB2312" w:cs="仿宋_GB2312"/>
          <w:sz w:val="32"/>
          <w:szCs w:val="32"/>
        </w:rPr>
      </w:pPr>
    </w:p>
    <w:p w:rsidR="0076554D" w:rsidRDefault="0076554D">
      <w:pPr>
        <w:adjustRightInd w:val="0"/>
        <w:snapToGrid w:val="0"/>
        <w:spacing w:line="580" w:lineRule="exact"/>
        <w:ind w:leftChars="200" w:left="420" w:firstLineChars="100" w:firstLine="320"/>
        <w:rPr>
          <w:rFonts w:ascii="仿宋_GB2312" w:eastAsia="仿宋" w:hAnsi="仿宋_GB2312" w:cs="仿宋_GB2312"/>
          <w:sz w:val="32"/>
          <w:szCs w:val="32"/>
        </w:rPr>
      </w:pPr>
    </w:p>
    <w:p w:rsidR="0076554D" w:rsidRDefault="0076554D">
      <w:pPr>
        <w:adjustRightInd w:val="0"/>
        <w:snapToGrid w:val="0"/>
        <w:spacing w:line="580" w:lineRule="exact"/>
        <w:ind w:leftChars="200" w:left="420" w:firstLineChars="100" w:firstLine="320"/>
        <w:rPr>
          <w:rFonts w:ascii="仿宋_GB2312" w:eastAsia="仿宋" w:hAnsi="仿宋_GB2312" w:cs="仿宋_GB2312"/>
          <w:sz w:val="32"/>
          <w:szCs w:val="32"/>
        </w:rPr>
      </w:pPr>
    </w:p>
    <w:p w:rsidR="0076554D" w:rsidRDefault="0076554D">
      <w:pPr>
        <w:adjustRightInd w:val="0"/>
        <w:snapToGrid w:val="0"/>
        <w:spacing w:line="580" w:lineRule="exact"/>
        <w:ind w:leftChars="200" w:left="420" w:firstLineChars="100" w:firstLine="320"/>
        <w:rPr>
          <w:rFonts w:ascii="仿宋_GB2312" w:eastAsia="仿宋" w:hAnsi="仿宋_GB2312" w:cs="仿宋_GB2312"/>
          <w:sz w:val="32"/>
          <w:szCs w:val="32"/>
        </w:rPr>
      </w:pPr>
    </w:p>
    <w:p w:rsidR="0076554D" w:rsidRDefault="0076554D">
      <w:pPr>
        <w:adjustRightInd w:val="0"/>
        <w:snapToGrid w:val="0"/>
        <w:spacing w:line="580" w:lineRule="exact"/>
        <w:ind w:leftChars="200" w:left="420" w:firstLineChars="100" w:firstLine="320"/>
        <w:rPr>
          <w:rFonts w:ascii="仿宋_GB2312" w:eastAsia="仿宋" w:hAnsi="仿宋_GB2312" w:cs="仿宋_GB2312"/>
          <w:sz w:val="32"/>
          <w:szCs w:val="32"/>
        </w:rPr>
      </w:pPr>
    </w:p>
    <w:p w:rsidR="0076554D" w:rsidRDefault="0076554D">
      <w:pPr>
        <w:adjustRightInd w:val="0"/>
        <w:snapToGrid w:val="0"/>
        <w:spacing w:line="580" w:lineRule="exact"/>
        <w:ind w:leftChars="200" w:left="420" w:firstLineChars="100" w:firstLine="320"/>
        <w:rPr>
          <w:rFonts w:ascii="仿宋_GB2312" w:eastAsia="仿宋" w:hAnsi="仿宋_GB2312" w:cs="仿宋_GB2312"/>
          <w:sz w:val="32"/>
          <w:szCs w:val="32"/>
        </w:rPr>
      </w:pPr>
    </w:p>
    <w:tbl>
      <w:tblPr>
        <w:tblW w:w="9020" w:type="dxa"/>
        <w:tblInd w:w="91" w:type="dxa"/>
        <w:tblLook w:val="04A0"/>
      </w:tblPr>
      <w:tblGrid>
        <w:gridCol w:w="800"/>
        <w:gridCol w:w="1340"/>
        <w:gridCol w:w="1360"/>
        <w:gridCol w:w="2500"/>
        <w:gridCol w:w="860"/>
        <w:gridCol w:w="940"/>
        <w:gridCol w:w="460"/>
        <w:gridCol w:w="760"/>
      </w:tblGrid>
      <w:tr w:rsidR="005C23CE" w:rsidRPr="005C23CE" w:rsidTr="005C23CE">
        <w:trPr>
          <w:trHeight w:val="222"/>
        </w:trPr>
        <w:tc>
          <w:tcPr>
            <w:tcW w:w="3500" w:type="dxa"/>
            <w:gridSpan w:val="3"/>
            <w:tcBorders>
              <w:top w:val="nil"/>
              <w:left w:val="nil"/>
              <w:bottom w:val="nil"/>
              <w:right w:val="nil"/>
            </w:tcBorders>
            <w:shd w:val="clear" w:color="auto" w:fill="auto"/>
            <w:noWrap/>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填报单位（盖章）：秦皇岛市中医医院</w:t>
            </w:r>
          </w:p>
        </w:tc>
        <w:tc>
          <w:tcPr>
            <w:tcW w:w="250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86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940" w:type="dxa"/>
            <w:tcBorders>
              <w:top w:val="nil"/>
              <w:left w:val="nil"/>
              <w:bottom w:val="nil"/>
              <w:right w:val="nil"/>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p>
        </w:tc>
        <w:tc>
          <w:tcPr>
            <w:tcW w:w="1220" w:type="dxa"/>
            <w:gridSpan w:val="2"/>
            <w:tcBorders>
              <w:top w:val="nil"/>
              <w:left w:val="nil"/>
              <w:bottom w:val="nil"/>
              <w:right w:val="single" w:sz="4" w:space="0" w:color="000000"/>
            </w:tcBorders>
            <w:shd w:val="clear" w:color="auto" w:fill="auto"/>
            <w:noWrap/>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金额单位：万元</w:t>
            </w:r>
          </w:p>
        </w:tc>
      </w:tr>
      <w:tr w:rsidR="005C23CE" w:rsidRPr="005C23CE" w:rsidTr="005C23CE">
        <w:trPr>
          <w:trHeight w:val="375"/>
        </w:trPr>
        <w:tc>
          <w:tcPr>
            <w:tcW w:w="800" w:type="dxa"/>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一、</w:t>
            </w:r>
            <w:r w:rsidRPr="005C23CE">
              <w:rPr>
                <w:color w:val="000000"/>
                <w:kern w:val="0"/>
                <w:sz w:val="14"/>
                <w:szCs w:val="14"/>
              </w:rPr>
              <w:t> </w:t>
            </w:r>
            <w:r w:rsidRPr="005C23CE">
              <w:rPr>
                <w:rFonts w:ascii="宋体" w:hAnsi="宋体" w:hint="eastAsia"/>
                <w:color w:val="000000"/>
                <w:kern w:val="0"/>
                <w:sz w:val="14"/>
                <w:szCs w:val="14"/>
              </w:rPr>
              <w:t>基本情况</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项目名称</w:t>
            </w:r>
          </w:p>
        </w:tc>
        <w:tc>
          <w:tcPr>
            <w:tcW w:w="6880" w:type="dxa"/>
            <w:gridSpan w:val="6"/>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中医院中医药服务出口基地</w:t>
            </w:r>
          </w:p>
        </w:tc>
      </w:tr>
      <w:tr w:rsidR="005C23CE" w:rsidRPr="005C23CE" w:rsidTr="005C23CE">
        <w:trPr>
          <w:trHeight w:val="300"/>
        </w:trPr>
        <w:tc>
          <w:tcPr>
            <w:tcW w:w="800" w:type="dxa"/>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主管部门</w:t>
            </w:r>
          </w:p>
        </w:tc>
        <w:tc>
          <w:tcPr>
            <w:tcW w:w="3860" w:type="dxa"/>
            <w:gridSpan w:val="2"/>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秦皇岛市卫生健康委员会</w:t>
            </w:r>
          </w:p>
        </w:tc>
        <w:tc>
          <w:tcPr>
            <w:tcW w:w="86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实施单位</w:t>
            </w:r>
          </w:p>
        </w:tc>
        <w:tc>
          <w:tcPr>
            <w:tcW w:w="2160" w:type="dxa"/>
            <w:gridSpan w:val="3"/>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秦皇岛市中医医院</w:t>
            </w:r>
          </w:p>
        </w:tc>
      </w:tr>
      <w:tr w:rsidR="005C23CE" w:rsidRPr="005C23CE" w:rsidTr="005C23CE">
        <w:trPr>
          <w:trHeight w:val="255"/>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二、预算执行情况</w:t>
            </w: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年初预算数</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全年预算数</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全年执行数</w:t>
            </w:r>
          </w:p>
        </w:tc>
        <w:tc>
          <w:tcPr>
            <w:tcW w:w="122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执行率（%）</w:t>
            </w:r>
          </w:p>
        </w:tc>
      </w:tr>
      <w:tr w:rsidR="005C23CE" w:rsidRPr="005C23CE" w:rsidTr="005C23CE">
        <w:trPr>
          <w:trHeight w:val="195"/>
        </w:trPr>
        <w:tc>
          <w:tcPr>
            <w:tcW w:w="80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年度项目资金总额</w:t>
            </w: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300</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300</w:t>
            </w:r>
          </w:p>
        </w:tc>
        <w:tc>
          <w:tcPr>
            <w:tcW w:w="122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100%</w:t>
            </w:r>
          </w:p>
        </w:tc>
      </w:tr>
      <w:tr w:rsidR="005C23CE" w:rsidRPr="005C23CE" w:rsidTr="005C23CE">
        <w:trPr>
          <w:trHeight w:val="270"/>
        </w:trPr>
        <w:tc>
          <w:tcPr>
            <w:tcW w:w="80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其中：当年财政拨款</w:t>
            </w: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300</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300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300</w:t>
            </w:r>
          </w:p>
        </w:tc>
        <w:tc>
          <w:tcPr>
            <w:tcW w:w="122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100%</w:t>
            </w:r>
          </w:p>
        </w:tc>
      </w:tr>
      <w:tr w:rsidR="005C23CE" w:rsidRPr="005C23CE" w:rsidTr="005C23CE">
        <w:trPr>
          <w:trHeight w:val="195"/>
        </w:trPr>
        <w:tc>
          <w:tcPr>
            <w:tcW w:w="80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right"/>
              <w:rPr>
                <w:rFonts w:ascii="宋体" w:hAnsi="宋体"/>
                <w:color w:val="000000"/>
                <w:kern w:val="0"/>
                <w:sz w:val="14"/>
                <w:szCs w:val="14"/>
              </w:rPr>
            </w:pPr>
            <w:r w:rsidRPr="005C23CE">
              <w:rPr>
                <w:rFonts w:ascii="宋体" w:hAnsi="宋体" w:hint="eastAsia"/>
                <w:color w:val="000000"/>
                <w:kern w:val="0"/>
                <w:sz w:val="14"/>
                <w:szCs w:val="14"/>
              </w:rPr>
              <w:t>上年结转资金</w:t>
            </w: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22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r>
      <w:tr w:rsidR="005C23CE" w:rsidRPr="005C23CE" w:rsidTr="005C23CE">
        <w:trPr>
          <w:trHeight w:val="195"/>
        </w:trPr>
        <w:tc>
          <w:tcPr>
            <w:tcW w:w="80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其他资金</w:t>
            </w: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 xml:space="preserve">　</w:t>
            </w:r>
          </w:p>
        </w:tc>
        <w:tc>
          <w:tcPr>
            <w:tcW w:w="1220" w:type="dxa"/>
            <w:gridSpan w:val="2"/>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 xml:space="preserve">　</w:t>
            </w:r>
          </w:p>
        </w:tc>
      </w:tr>
      <w:tr w:rsidR="005C23CE" w:rsidRPr="005C23CE" w:rsidTr="005C23CE">
        <w:trPr>
          <w:trHeight w:val="195"/>
        </w:trPr>
        <w:tc>
          <w:tcPr>
            <w:tcW w:w="80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三、目标完成情况</w:t>
            </w:r>
          </w:p>
        </w:tc>
        <w:tc>
          <w:tcPr>
            <w:tcW w:w="2700" w:type="dxa"/>
            <w:gridSpan w:val="2"/>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年度预期目标</w:t>
            </w:r>
          </w:p>
        </w:tc>
        <w:tc>
          <w:tcPr>
            <w:tcW w:w="4300" w:type="dxa"/>
            <w:gridSpan w:val="3"/>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具体完成情况</w:t>
            </w:r>
          </w:p>
        </w:tc>
        <w:tc>
          <w:tcPr>
            <w:tcW w:w="1220" w:type="dxa"/>
            <w:gridSpan w:val="2"/>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总体完成率</w:t>
            </w:r>
          </w:p>
        </w:tc>
      </w:tr>
      <w:tr w:rsidR="005C23CE" w:rsidRPr="005C23CE" w:rsidTr="005C23CE">
        <w:trPr>
          <w:trHeight w:val="660"/>
        </w:trPr>
        <w:tc>
          <w:tcPr>
            <w:tcW w:w="800" w:type="dxa"/>
            <w:vMerge/>
            <w:tcBorders>
              <w:top w:val="single" w:sz="4" w:space="0" w:color="000000"/>
              <w:left w:val="single" w:sz="4" w:space="0" w:color="000000"/>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2700" w:type="dxa"/>
            <w:gridSpan w:val="2"/>
            <w:tcBorders>
              <w:top w:val="nil"/>
              <w:left w:val="nil"/>
              <w:bottom w:val="nil"/>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对康养产品名称、标识进行设计、核准，完成商标注册工作</w:t>
            </w:r>
            <w:r w:rsidRPr="005C23CE">
              <w:rPr>
                <w:rFonts w:ascii="宋体" w:hAnsi="宋体" w:hint="eastAsia"/>
                <w:color w:val="000000"/>
                <w:kern w:val="0"/>
                <w:sz w:val="14"/>
                <w:szCs w:val="14"/>
              </w:rPr>
              <w:br/>
              <w:t>搭建机构，形成框架，成立国际医疗部</w:t>
            </w:r>
          </w:p>
        </w:tc>
        <w:tc>
          <w:tcPr>
            <w:tcW w:w="4300" w:type="dxa"/>
            <w:gridSpan w:val="3"/>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完成</w:t>
            </w:r>
          </w:p>
        </w:tc>
        <w:tc>
          <w:tcPr>
            <w:tcW w:w="1220" w:type="dxa"/>
            <w:gridSpan w:val="2"/>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100%</w:t>
            </w:r>
          </w:p>
        </w:tc>
      </w:tr>
      <w:tr w:rsidR="005C23CE" w:rsidRPr="005C23CE" w:rsidTr="005C23CE">
        <w:trPr>
          <w:trHeight w:val="27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四、年度绩效指标完成情况</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一级指标</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二级指标</w:t>
            </w:r>
          </w:p>
        </w:tc>
        <w:tc>
          <w:tcPr>
            <w:tcW w:w="2500" w:type="dxa"/>
            <w:tcBorders>
              <w:top w:val="single" w:sz="4" w:space="0" w:color="000000"/>
              <w:left w:val="nil"/>
              <w:bottom w:val="nil"/>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三级指标</w:t>
            </w:r>
          </w:p>
        </w:tc>
        <w:tc>
          <w:tcPr>
            <w:tcW w:w="860" w:type="dxa"/>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预期指标值</w:t>
            </w:r>
          </w:p>
        </w:tc>
        <w:tc>
          <w:tcPr>
            <w:tcW w:w="940" w:type="dxa"/>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实际完成值</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分值</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自评得分</w:t>
            </w:r>
          </w:p>
        </w:tc>
      </w:tr>
      <w:tr w:rsidR="005C23CE" w:rsidRPr="005C23CE" w:rsidTr="005C23CE">
        <w:trPr>
          <w:trHeight w:val="46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val="restart"/>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产出指标（50）</w:t>
            </w:r>
          </w:p>
        </w:tc>
        <w:tc>
          <w:tcPr>
            <w:tcW w:w="1360" w:type="dxa"/>
            <w:tcBorders>
              <w:top w:val="nil"/>
              <w:left w:val="nil"/>
              <w:bottom w:val="nil"/>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数量指标</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就基地建设实际情况进行考察，并定期召开会议</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定期召开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召开</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质量指标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制定资金使用细则</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制定</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制定</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资金使用合规率</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时效指标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预算拨付及时率</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nil"/>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成本指标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项目资金支出金额</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300</w:t>
            </w:r>
            <w:r w:rsidRPr="005C23CE">
              <w:rPr>
                <w:rFonts w:ascii="宋体" w:hAnsi="宋体" w:hint="eastAsia"/>
                <w:color w:val="000000"/>
                <w:kern w:val="0"/>
                <w:sz w:val="14"/>
                <w:szCs w:val="14"/>
              </w:rPr>
              <w:t>万</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300</w:t>
            </w:r>
            <w:r w:rsidRPr="005C23CE">
              <w:rPr>
                <w:rFonts w:ascii="宋体" w:hAnsi="宋体" w:hint="eastAsia"/>
                <w:color w:val="000000"/>
                <w:kern w:val="0"/>
                <w:sz w:val="14"/>
                <w:szCs w:val="14"/>
              </w:rPr>
              <w:t>万</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val="restart"/>
            <w:tcBorders>
              <w:top w:val="single" w:sz="4" w:space="0" w:color="000000"/>
              <w:left w:val="nil"/>
              <w:bottom w:val="nil"/>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效益指标（30）</w:t>
            </w: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经济效益指标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承接国际医疗服务</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不超预算</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不超预算</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8</w:t>
            </w:r>
          </w:p>
        </w:tc>
      </w:tr>
      <w:tr w:rsidR="005C23CE" w:rsidRPr="005C23CE" w:rsidTr="005C23CE">
        <w:trPr>
          <w:trHeight w:val="52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single" w:sz="4" w:space="0" w:color="000000"/>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社会效益指标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外籍患者、游客、特需服务人群对中医药诊疗服务的满意度</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570"/>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single" w:sz="4" w:space="0" w:color="000000"/>
              <w:left w:val="nil"/>
              <w:bottom w:val="nil"/>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可持续影响指标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对服务贸易可持续发展的影响</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促进提升</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促进提升</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570"/>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满意度指标（10）</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满意度指标</w:t>
            </w:r>
          </w:p>
        </w:tc>
        <w:tc>
          <w:tcPr>
            <w:tcW w:w="2500" w:type="dxa"/>
            <w:tcBorders>
              <w:top w:val="nil"/>
              <w:left w:val="nil"/>
              <w:bottom w:val="single" w:sz="4" w:space="0" w:color="000000"/>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外籍患者、游客、特需服务人群对中医药诊疗服务的满意度</w:t>
            </w:r>
          </w:p>
        </w:tc>
        <w:tc>
          <w:tcPr>
            <w:tcW w:w="8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94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100%</w:t>
            </w:r>
          </w:p>
        </w:tc>
        <w:tc>
          <w:tcPr>
            <w:tcW w:w="4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70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vMerge/>
            <w:tcBorders>
              <w:top w:val="single" w:sz="4" w:space="0" w:color="000000"/>
              <w:left w:val="nil"/>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60" w:type="dxa"/>
            <w:vMerge/>
            <w:tcBorders>
              <w:top w:val="nil"/>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2500" w:type="dxa"/>
            <w:tcBorders>
              <w:top w:val="nil"/>
              <w:left w:val="nil"/>
              <w:bottom w:val="nil"/>
              <w:right w:val="nil"/>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满意度大于等于90%的得10分；小于90%且大于等于80%得8分，小于80%且大于等于60%得5分，小于60%不得分。</w:t>
            </w:r>
          </w:p>
        </w:tc>
        <w:tc>
          <w:tcPr>
            <w:tcW w:w="86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94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46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c>
          <w:tcPr>
            <w:tcW w:w="760" w:type="dxa"/>
            <w:tcBorders>
              <w:top w:val="nil"/>
              <w:left w:val="nil"/>
              <w:bottom w:val="nil"/>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 xml:space="preserve">　</w:t>
            </w:r>
          </w:p>
        </w:tc>
      </w:tr>
      <w:tr w:rsidR="005C23CE" w:rsidRPr="005C23CE" w:rsidTr="005C23CE">
        <w:trPr>
          <w:trHeight w:val="106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134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预算执行率（10）</w:t>
            </w:r>
          </w:p>
        </w:tc>
        <w:tc>
          <w:tcPr>
            <w:tcW w:w="136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rFonts w:ascii="宋体" w:hAnsi="宋体"/>
                <w:kern w:val="0"/>
                <w:sz w:val="14"/>
                <w:szCs w:val="14"/>
              </w:rPr>
            </w:pPr>
            <w:r w:rsidRPr="005C23CE">
              <w:rPr>
                <w:rFonts w:ascii="宋体" w:hAnsi="宋体" w:hint="eastAsia"/>
                <w:kern w:val="0"/>
                <w:sz w:val="14"/>
                <w:szCs w:val="14"/>
              </w:rPr>
              <w:t>预算执行率</w:t>
            </w:r>
          </w:p>
        </w:tc>
        <w:tc>
          <w:tcPr>
            <w:tcW w:w="2500" w:type="dxa"/>
            <w:tcBorders>
              <w:top w:val="single" w:sz="4" w:space="0" w:color="auto"/>
              <w:left w:val="nil"/>
              <w:bottom w:val="nil"/>
              <w:right w:val="nil"/>
            </w:tcBorders>
            <w:shd w:val="clear" w:color="auto" w:fill="auto"/>
            <w:vAlign w:val="center"/>
            <w:hideMark/>
          </w:tcPr>
          <w:p w:rsidR="005C23CE" w:rsidRPr="005C23CE" w:rsidRDefault="005C23CE" w:rsidP="005C23CE">
            <w:pPr>
              <w:widowControl/>
              <w:jc w:val="left"/>
              <w:rPr>
                <w:rFonts w:ascii="宋体" w:hAnsi="宋体"/>
                <w:kern w:val="0"/>
                <w:sz w:val="14"/>
                <w:szCs w:val="14"/>
              </w:rPr>
            </w:pPr>
            <w:r w:rsidRPr="005C23CE">
              <w:rPr>
                <w:rFonts w:ascii="宋体" w:hAnsi="宋体" w:hint="eastAsia"/>
                <w:kern w:val="0"/>
                <w:sz w:val="14"/>
                <w:szCs w:val="14"/>
              </w:rPr>
              <w:t>项目完成且执行数控制在年度预算规模之内，得10分；项目尚未完成，预算执行率小于90%且大于等于80%得7分，小于80%且大于等于60%得5分，小于60%不得分。</w:t>
            </w:r>
          </w:p>
        </w:tc>
        <w:tc>
          <w:tcPr>
            <w:tcW w:w="86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5C23CE" w:rsidRPr="005C23CE" w:rsidRDefault="005C23CE" w:rsidP="005C23CE">
            <w:pPr>
              <w:widowControl/>
              <w:jc w:val="center"/>
              <w:rPr>
                <w:kern w:val="0"/>
                <w:sz w:val="14"/>
                <w:szCs w:val="14"/>
              </w:rPr>
            </w:pPr>
            <w:r w:rsidRPr="005C23CE">
              <w:rPr>
                <w:kern w:val="0"/>
                <w:sz w:val="14"/>
                <w:szCs w:val="14"/>
              </w:rPr>
              <w:t xml:space="preserve">　</w:t>
            </w:r>
          </w:p>
        </w:tc>
        <w:tc>
          <w:tcPr>
            <w:tcW w:w="4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10</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10</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7460" w:type="dxa"/>
            <w:gridSpan w:val="6"/>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总分（共计100分）</w:t>
            </w:r>
          </w:p>
        </w:tc>
        <w:tc>
          <w:tcPr>
            <w:tcW w:w="760" w:type="dxa"/>
            <w:tcBorders>
              <w:top w:val="nil"/>
              <w:left w:val="nil"/>
              <w:bottom w:val="single" w:sz="4" w:space="0" w:color="auto"/>
              <w:right w:val="single" w:sz="4" w:space="0" w:color="000000"/>
            </w:tcBorders>
            <w:shd w:val="clear" w:color="auto" w:fill="auto"/>
            <w:vAlign w:val="center"/>
            <w:hideMark/>
          </w:tcPr>
          <w:p w:rsidR="005C23CE" w:rsidRPr="005C23CE" w:rsidRDefault="005C23CE" w:rsidP="005C23CE">
            <w:pPr>
              <w:widowControl/>
              <w:jc w:val="center"/>
              <w:rPr>
                <w:color w:val="000000"/>
                <w:kern w:val="0"/>
                <w:sz w:val="14"/>
                <w:szCs w:val="14"/>
              </w:rPr>
            </w:pPr>
            <w:r w:rsidRPr="005C23CE">
              <w:rPr>
                <w:color w:val="000000"/>
                <w:kern w:val="0"/>
                <w:sz w:val="14"/>
                <w:szCs w:val="14"/>
              </w:rPr>
              <w:t>98</w:t>
            </w:r>
          </w:p>
        </w:tc>
      </w:tr>
      <w:tr w:rsidR="005C23CE" w:rsidRPr="005C23CE" w:rsidTr="005C23CE">
        <w:trPr>
          <w:trHeight w:val="195"/>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5C23CE" w:rsidRPr="005C23CE" w:rsidRDefault="005C23CE" w:rsidP="005C23CE">
            <w:pPr>
              <w:widowControl/>
              <w:jc w:val="left"/>
              <w:rPr>
                <w:rFonts w:ascii="宋体" w:hAnsi="宋体"/>
                <w:color w:val="000000"/>
                <w:kern w:val="0"/>
                <w:sz w:val="14"/>
                <w:szCs w:val="14"/>
              </w:rPr>
            </w:pPr>
          </w:p>
        </w:tc>
        <w:tc>
          <w:tcPr>
            <w:tcW w:w="7460" w:type="dxa"/>
            <w:gridSpan w:val="6"/>
            <w:tcBorders>
              <w:top w:val="single" w:sz="4" w:space="0" w:color="000000"/>
              <w:left w:val="nil"/>
              <w:bottom w:val="single" w:sz="4" w:space="0" w:color="000000"/>
              <w:right w:val="nil"/>
            </w:tcBorders>
            <w:shd w:val="clear" w:color="auto" w:fill="auto"/>
            <w:vAlign w:val="center"/>
            <w:hideMark/>
          </w:tcPr>
          <w:p w:rsidR="005C23CE" w:rsidRPr="005C23CE" w:rsidRDefault="005C23CE" w:rsidP="005C23CE">
            <w:pPr>
              <w:widowControl/>
              <w:jc w:val="center"/>
              <w:rPr>
                <w:rFonts w:ascii="宋体" w:hAnsi="宋体"/>
                <w:color w:val="000000"/>
                <w:kern w:val="0"/>
                <w:sz w:val="14"/>
                <w:szCs w:val="14"/>
              </w:rPr>
            </w:pPr>
            <w:r w:rsidRPr="005C23CE">
              <w:rPr>
                <w:rFonts w:ascii="宋体" w:hAnsi="宋体" w:hint="eastAsia"/>
                <w:color w:val="000000"/>
                <w:kern w:val="0"/>
                <w:sz w:val="14"/>
                <w:szCs w:val="14"/>
              </w:rPr>
              <w:t>评价等级（优：90（含）-100分；良：80（含）-90分；中60（含）-80分；差：60分以下）</w:t>
            </w:r>
          </w:p>
        </w:tc>
        <w:tc>
          <w:tcPr>
            <w:tcW w:w="760" w:type="dxa"/>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优</w:t>
            </w:r>
          </w:p>
        </w:tc>
      </w:tr>
      <w:tr w:rsidR="005C23CE" w:rsidRPr="005C23CE" w:rsidTr="005C23CE">
        <w:trPr>
          <w:trHeight w:val="66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五、</w:t>
            </w:r>
            <w:r w:rsidRPr="005C23CE">
              <w:rPr>
                <w:color w:val="000000"/>
                <w:kern w:val="0"/>
                <w:sz w:val="14"/>
                <w:szCs w:val="14"/>
              </w:rPr>
              <w:t> </w:t>
            </w:r>
            <w:r w:rsidRPr="005C23CE">
              <w:rPr>
                <w:rFonts w:ascii="宋体" w:hAnsi="宋体" w:hint="eastAsia"/>
                <w:color w:val="000000"/>
                <w:kern w:val="0"/>
                <w:sz w:val="14"/>
                <w:szCs w:val="14"/>
              </w:rPr>
              <w:t>存在问题、原因及下一步整改措施</w:t>
            </w:r>
          </w:p>
        </w:tc>
        <w:tc>
          <w:tcPr>
            <w:tcW w:w="8220" w:type="dxa"/>
            <w:gridSpan w:val="7"/>
            <w:tcBorders>
              <w:top w:val="nil"/>
              <w:left w:val="nil"/>
              <w:bottom w:val="single" w:sz="4" w:space="0" w:color="000000"/>
              <w:right w:val="single" w:sz="4" w:space="0" w:color="000000"/>
            </w:tcBorders>
            <w:shd w:val="clear" w:color="auto" w:fill="auto"/>
            <w:vAlign w:val="center"/>
            <w:hideMark/>
          </w:tcPr>
          <w:p w:rsidR="005C23CE" w:rsidRPr="005C23CE" w:rsidRDefault="005C23CE" w:rsidP="005C23CE">
            <w:pPr>
              <w:widowControl/>
              <w:jc w:val="left"/>
              <w:rPr>
                <w:rFonts w:ascii="宋体" w:hAnsi="宋体"/>
                <w:color w:val="000000"/>
                <w:kern w:val="0"/>
                <w:sz w:val="14"/>
                <w:szCs w:val="14"/>
              </w:rPr>
            </w:pPr>
            <w:r w:rsidRPr="005C23CE">
              <w:rPr>
                <w:rFonts w:ascii="宋体" w:hAnsi="宋体" w:hint="eastAsia"/>
                <w:color w:val="000000"/>
                <w:kern w:val="0"/>
                <w:sz w:val="14"/>
                <w:szCs w:val="14"/>
              </w:rPr>
              <w:t>(主要填写项目绩效存在问题及原因分析,下一步拟采取的纠偏措施及对策建议,项目绩效目标指标设定存在的问题及修改完善措施)</w:t>
            </w:r>
          </w:p>
        </w:tc>
      </w:tr>
    </w:tbl>
    <w:p w:rsidR="00F73F83" w:rsidRDefault="00B936AD">
      <w:pPr>
        <w:adjustRightInd w:val="0"/>
        <w:snapToGrid w:val="0"/>
        <w:spacing w:line="580" w:lineRule="exact"/>
        <w:ind w:leftChars="200" w:left="420" w:firstLineChars="100" w:firstLine="321"/>
        <w:rPr>
          <w:rFonts w:ascii="仿宋_GB2312" w:eastAsia="仿宋" w:hAnsi="仿宋_GB2312" w:cs="仿宋_GB2312"/>
          <w:b/>
          <w:bCs/>
          <w:sz w:val="32"/>
          <w:szCs w:val="32"/>
        </w:rPr>
      </w:pPr>
      <w:r w:rsidRPr="00FD4BAC">
        <w:rPr>
          <w:rFonts w:ascii="仿宋_GB2312" w:eastAsia="仿宋" w:hAnsi="仿宋_GB2312" w:cs="仿宋_GB2312" w:hint="eastAsia"/>
          <w:b/>
          <w:bCs/>
          <w:sz w:val="32"/>
          <w:szCs w:val="32"/>
        </w:rPr>
        <w:t>（三）部门评价项目绩效评价结果</w:t>
      </w:r>
    </w:p>
    <w:p w:rsidR="00012098" w:rsidRPr="00012098" w:rsidRDefault="00012098" w:rsidP="00836365">
      <w:pPr>
        <w:adjustRightInd w:val="0"/>
        <w:snapToGrid w:val="0"/>
        <w:spacing w:line="580" w:lineRule="exact"/>
        <w:ind w:leftChars="200" w:left="420" w:firstLineChars="150" w:firstLine="480"/>
        <w:rPr>
          <w:rFonts w:ascii="仿宋_GB2312" w:eastAsia="仿宋" w:hAnsi="仿宋_GB2312" w:cs="仿宋_GB2312"/>
          <w:sz w:val="32"/>
          <w:szCs w:val="32"/>
        </w:rPr>
      </w:pPr>
      <w:r>
        <w:rPr>
          <w:rFonts w:ascii="仿宋_GB2312" w:eastAsia="仿宋" w:hAnsi="仿宋_GB2312" w:cs="仿宋_GB2312" w:hint="eastAsia"/>
          <w:sz w:val="32"/>
          <w:szCs w:val="32"/>
        </w:rPr>
        <w:t>2021</w:t>
      </w:r>
      <w:r>
        <w:rPr>
          <w:rFonts w:ascii="仿宋_GB2312" w:eastAsia="仿宋" w:hAnsi="仿宋_GB2312" w:cs="仿宋_GB2312" w:hint="eastAsia"/>
          <w:sz w:val="32"/>
          <w:szCs w:val="32"/>
        </w:rPr>
        <w:t>年本单位开展绩效评价项目共计</w:t>
      </w:r>
      <w:r>
        <w:rPr>
          <w:rFonts w:ascii="仿宋_GB2312" w:eastAsia="仿宋" w:hAnsi="仿宋_GB2312" w:cs="仿宋_GB2312" w:hint="eastAsia"/>
          <w:sz w:val="32"/>
          <w:szCs w:val="32"/>
        </w:rPr>
        <w:t>19</w:t>
      </w:r>
      <w:r>
        <w:rPr>
          <w:rFonts w:ascii="仿宋_GB2312" w:eastAsia="仿宋" w:hAnsi="仿宋_GB2312" w:cs="仿宋_GB2312" w:hint="eastAsia"/>
          <w:sz w:val="32"/>
          <w:szCs w:val="32"/>
        </w:rPr>
        <w:t>个，涉及项目金额</w:t>
      </w:r>
      <w:r>
        <w:rPr>
          <w:rFonts w:ascii="仿宋_GB2312" w:eastAsia="仿宋" w:hAnsi="仿宋_GB2312" w:cs="仿宋_GB2312" w:hint="eastAsia"/>
          <w:sz w:val="32"/>
          <w:szCs w:val="32"/>
        </w:rPr>
        <w:t>8174.18</w:t>
      </w:r>
      <w:r>
        <w:rPr>
          <w:rFonts w:ascii="仿宋_GB2312" w:eastAsia="仿宋" w:hAnsi="仿宋_GB2312" w:cs="仿宋_GB2312" w:hint="eastAsia"/>
          <w:sz w:val="32"/>
          <w:szCs w:val="32"/>
        </w:rPr>
        <w:t>万元，自评结果为优的共计</w:t>
      </w:r>
      <w:r>
        <w:rPr>
          <w:rFonts w:ascii="仿宋_GB2312" w:eastAsia="仿宋" w:hAnsi="仿宋_GB2312" w:cs="仿宋_GB2312" w:hint="eastAsia"/>
          <w:sz w:val="32"/>
          <w:szCs w:val="32"/>
        </w:rPr>
        <w:t>16</w:t>
      </w:r>
      <w:r>
        <w:rPr>
          <w:rFonts w:ascii="仿宋_GB2312" w:eastAsia="仿宋" w:hAnsi="仿宋_GB2312" w:cs="仿宋_GB2312" w:hint="eastAsia"/>
          <w:sz w:val="32"/>
          <w:szCs w:val="32"/>
        </w:rPr>
        <w:t>个，自评结果为良的共计</w:t>
      </w:r>
      <w:r>
        <w:rPr>
          <w:rFonts w:ascii="仿宋_GB2312" w:eastAsia="仿宋" w:hAnsi="仿宋_GB2312" w:cs="仿宋_GB2312" w:hint="eastAsia"/>
          <w:sz w:val="32"/>
          <w:szCs w:val="32"/>
        </w:rPr>
        <w:t>3</w:t>
      </w:r>
      <w:r>
        <w:rPr>
          <w:rFonts w:ascii="仿宋_GB2312" w:eastAsia="仿宋" w:hAnsi="仿宋_GB2312" w:cs="仿宋_GB2312" w:hint="eastAsia"/>
          <w:sz w:val="32"/>
          <w:szCs w:val="32"/>
        </w:rPr>
        <w:t>个，主要为未改项目，相关绩效指标完成度不高。</w:t>
      </w:r>
    </w:p>
    <w:p w:rsidR="00F73F83" w:rsidRPr="00FD4BAC" w:rsidRDefault="00B936AD">
      <w:pPr>
        <w:adjustRightInd w:val="0"/>
        <w:snapToGrid w:val="0"/>
        <w:spacing w:line="580" w:lineRule="exact"/>
        <w:ind w:leftChars="200" w:left="420" w:firstLineChars="100" w:firstLine="320"/>
        <w:rPr>
          <w:rFonts w:ascii="仿宋_GB2312" w:eastAsia="仿宋" w:hAnsi="仿宋_GB2312" w:cs="仿宋_GB2312"/>
          <w:sz w:val="32"/>
          <w:szCs w:val="32"/>
        </w:rPr>
      </w:pPr>
      <w:r>
        <w:rPr>
          <w:rFonts w:ascii="黑体" w:eastAsia="黑体" w:cs="Times New Roman" w:hint="eastAsia"/>
          <w:sz w:val="32"/>
          <w:szCs w:val="32"/>
        </w:rPr>
        <w:t>七、机关运行经费情况</w:t>
      </w:r>
    </w:p>
    <w:p w:rsidR="004F796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00100D00">
        <w:rPr>
          <w:rFonts w:ascii="仿宋_GB2312" w:eastAsia="仿宋" w:hAnsi="Times New Roman" w:cs="DengXian-Regular" w:hint="eastAsia"/>
          <w:sz w:val="32"/>
          <w:szCs w:val="32"/>
        </w:rPr>
        <w:t>性质为非行政单位和参照公务员管理事业单位，故无</w:t>
      </w:r>
      <w:r w:rsidR="00100D00">
        <w:rPr>
          <w:rFonts w:ascii="仿宋_GB2312" w:eastAsia="仿宋" w:hAnsi="Times New Roman" w:cs="DengXian-Regular" w:hint="eastAsia"/>
          <w:sz w:val="32"/>
          <w:szCs w:val="32"/>
        </w:rPr>
        <w:lastRenderedPageBreak/>
        <w:t>机关运行经费</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highlight w:val="yellow"/>
        </w:rPr>
      </w:pPr>
      <w:r>
        <w:rPr>
          <w:rFonts w:ascii="黑体" w:eastAsia="黑体" w:cs="Times New Roman" w:hint="eastAsia"/>
          <w:sz w:val="32"/>
          <w:szCs w:val="32"/>
        </w:rPr>
        <w:t>八、政府采购情况</w:t>
      </w:r>
    </w:p>
    <w:p w:rsidR="004F7963" w:rsidRPr="00FD4BAC" w:rsidRDefault="00B936AD">
      <w:pPr>
        <w:snapToGrid w:val="0"/>
        <w:spacing w:line="580" w:lineRule="exact"/>
        <w:ind w:firstLineChars="200" w:firstLine="640"/>
        <w:jc w:val="left"/>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年度政府采购支出总额</w:t>
      </w:r>
      <w:r w:rsidR="00100D00">
        <w:rPr>
          <w:rFonts w:ascii="仿宋_GB2312" w:eastAsia="仿宋" w:hAnsi="Times New Roman" w:cs="DengXian-Regular"/>
          <w:sz w:val="32"/>
          <w:szCs w:val="32"/>
        </w:rPr>
        <w:t>1817.54</w:t>
      </w:r>
      <w:r w:rsidRPr="00FD4BAC">
        <w:rPr>
          <w:rFonts w:ascii="仿宋_GB2312" w:eastAsia="仿宋" w:hAnsi="Times New Roman" w:cs="DengXian-Regular" w:hint="eastAsia"/>
          <w:sz w:val="32"/>
          <w:szCs w:val="32"/>
        </w:rPr>
        <w:t>万元，从采购类型来看，</w:t>
      </w:r>
      <w:r w:rsidRPr="00FD4BAC">
        <w:rPr>
          <w:rFonts w:ascii="仿宋_GB2312" w:eastAsia="仿宋" w:hAnsi="仿宋_GB2312" w:cs="仿宋_GB2312"/>
          <w:color w:val="000000"/>
          <w:kern w:val="0"/>
          <w:sz w:val="32"/>
          <w:szCs w:val="32"/>
        </w:rPr>
        <w:t>政府采购货物支出</w:t>
      </w:r>
      <w:r w:rsidR="00100D00">
        <w:rPr>
          <w:rFonts w:ascii="仿宋_GB2312" w:eastAsia="仿宋" w:hAnsi="仿宋_GB2312" w:cs="仿宋_GB2312"/>
          <w:color w:val="000000"/>
          <w:kern w:val="0"/>
          <w:sz w:val="32"/>
          <w:szCs w:val="32"/>
        </w:rPr>
        <w:t>1040.58</w:t>
      </w:r>
      <w:r w:rsidRPr="00FD4BAC">
        <w:rPr>
          <w:rFonts w:ascii="仿宋_GB2312" w:eastAsia="仿宋" w:hAnsi="仿宋_GB2312" w:cs="仿宋_GB2312"/>
          <w:color w:val="000000"/>
          <w:kern w:val="0"/>
          <w:sz w:val="32"/>
          <w:szCs w:val="32"/>
        </w:rPr>
        <w:t>万元、政府采购工程支出</w:t>
      </w:r>
      <w:r w:rsidR="00100D00">
        <w:rPr>
          <w:rFonts w:ascii="仿宋_GB2312" w:eastAsia="仿宋" w:hAnsi="仿宋_GB2312" w:cs="仿宋_GB2312"/>
          <w:color w:val="000000"/>
          <w:kern w:val="0"/>
          <w:sz w:val="32"/>
          <w:szCs w:val="32"/>
        </w:rPr>
        <w:t>0.00</w:t>
      </w:r>
      <w:r w:rsidRPr="00FD4BAC">
        <w:rPr>
          <w:rFonts w:ascii="仿宋_GB2312" w:eastAsia="仿宋" w:hAnsi="仿宋_GB2312" w:cs="仿宋_GB2312"/>
          <w:color w:val="000000"/>
          <w:kern w:val="0"/>
          <w:sz w:val="32"/>
          <w:szCs w:val="32"/>
        </w:rPr>
        <w:t>万元、政府采购服务支出</w:t>
      </w:r>
      <w:r w:rsidR="00100D00">
        <w:rPr>
          <w:rFonts w:ascii="仿宋_GB2312" w:eastAsia="仿宋" w:hAnsi="仿宋_GB2312" w:cs="仿宋_GB2312"/>
          <w:color w:val="000000"/>
          <w:kern w:val="0"/>
          <w:sz w:val="32"/>
          <w:szCs w:val="32"/>
        </w:rPr>
        <w:t>776.96</w:t>
      </w:r>
      <w:r w:rsidRPr="00FD4BAC">
        <w:rPr>
          <w:rFonts w:ascii="仿宋_GB2312" w:eastAsia="仿宋" w:hAnsi="仿宋_GB2312" w:cs="仿宋_GB2312"/>
          <w:color w:val="000000"/>
          <w:kern w:val="0"/>
          <w:sz w:val="32"/>
          <w:szCs w:val="32"/>
        </w:rPr>
        <w:t>万元。授予中小企业合同金</w:t>
      </w:r>
      <w:r w:rsidR="00A5734C">
        <w:rPr>
          <w:rFonts w:ascii="仿宋_GB2312" w:eastAsia="仿宋" w:hAnsi="仿宋_GB2312" w:cs="仿宋_GB2312" w:hint="eastAsia"/>
          <w:color w:val="000000"/>
          <w:kern w:val="0"/>
          <w:sz w:val="32"/>
          <w:szCs w:val="32"/>
        </w:rPr>
        <w:t>额</w:t>
      </w:r>
      <w:r w:rsidR="00100D00">
        <w:rPr>
          <w:rFonts w:ascii="仿宋_GB2312" w:eastAsia="仿宋" w:hAnsi="仿宋_GB2312" w:cs="仿宋_GB2312"/>
          <w:color w:val="000000"/>
          <w:kern w:val="0"/>
          <w:sz w:val="32"/>
          <w:szCs w:val="32"/>
        </w:rPr>
        <w:t>1604.34</w:t>
      </w:r>
      <w:r w:rsidRPr="00FD4BAC">
        <w:rPr>
          <w:rFonts w:ascii="仿宋_GB2312" w:eastAsia="仿宋" w:hAnsi="仿宋_GB2312" w:cs="仿宋_GB2312"/>
          <w:color w:val="000000"/>
          <w:kern w:val="0"/>
          <w:sz w:val="32"/>
          <w:szCs w:val="32"/>
        </w:rPr>
        <w:t>万元，占政府采购支出总额的</w:t>
      </w:r>
      <w:r w:rsidR="00100D00">
        <w:rPr>
          <w:rFonts w:ascii="仿宋_GB2312" w:eastAsia="仿宋" w:hAnsi="仿宋_GB2312" w:cs="仿宋_GB2312"/>
          <w:color w:val="000000"/>
          <w:kern w:val="0"/>
          <w:sz w:val="32"/>
          <w:szCs w:val="32"/>
        </w:rPr>
        <w:t>88.3</w:t>
      </w:r>
      <w:r w:rsidRPr="00FD4BAC">
        <w:rPr>
          <w:rFonts w:ascii="仿宋_GB2312" w:eastAsia="仿宋" w:hAnsi="仿宋_GB2312" w:cs="仿宋_GB2312" w:hint="eastAsia"/>
          <w:color w:val="000000"/>
          <w:kern w:val="0"/>
          <w:sz w:val="32"/>
          <w:szCs w:val="32"/>
        </w:rPr>
        <w:t>%</w:t>
      </w:r>
      <w:r w:rsidRPr="00FD4BAC">
        <w:rPr>
          <w:rFonts w:ascii="仿宋_GB2312" w:eastAsia="仿宋" w:hAnsi="仿宋_GB2312" w:cs="仿宋_GB2312" w:hint="eastAsia"/>
          <w:color w:val="000000"/>
          <w:kern w:val="0"/>
          <w:sz w:val="32"/>
          <w:szCs w:val="32"/>
        </w:rPr>
        <w:t>，</w:t>
      </w:r>
      <w:r w:rsidRPr="00FD4BAC">
        <w:rPr>
          <w:rFonts w:ascii="仿宋_GB2312" w:eastAsia="仿宋" w:hAnsi="仿宋_GB2312" w:cs="仿宋_GB2312"/>
          <w:color w:val="000000"/>
          <w:kern w:val="0"/>
          <w:sz w:val="32"/>
          <w:szCs w:val="32"/>
        </w:rPr>
        <w:t>其中授予小微企业合同金额</w:t>
      </w:r>
      <w:r w:rsidR="00100D00">
        <w:rPr>
          <w:rFonts w:ascii="仿宋_GB2312" w:eastAsia="仿宋" w:hAnsi="仿宋_GB2312" w:cs="仿宋_GB2312"/>
          <w:color w:val="000000"/>
          <w:kern w:val="0"/>
          <w:sz w:val="32"/>
          <w:szCs w:val="32"/>
        </w:rPr>
        <w:t>259.10</w:t>
      </w:r>
      <w:r w:rsidRPr="00FD4BAC">
        <w:rPr>
          <w:rFonts w:ascii="仿宋_GB2312" w:eastAsia="仿宋" w:hAnsi="仿宋_GB2312" w:cs="仿宋_GB2312"/>
          <w:color w:val="000000"/>
          <w:kern w:val="0"/>
          <w:sz w:val="32"/>
          <w:szCs w:val="32"/>
        </w:rPr>
        <w:t>万元，占政府采购支出总额的</w:t>
      </w:r>
      <w:r w:rsidR="00100D00">
        <w:rPr>
          <w:rFonts w:ascii="仿宋_GB2312" w:eastAsia="仿宋" w:hAnsi="仿宋_GB2312" w:cs="仿宋_GB2312"/>
          <w:color w:val="000000"/>
          <w:kern w:val="0"/>
          <w:sz w:val="32"/>
          <w:szCs w:val="32"/>
        </w:rPr>
        <w:t>14.3</w:t>
      </w:r>
      <w:r w:rsidRPr="00FD4BAC">
        <w:rPr>
          <w:rFonts w:ascii="仿宋_GB2312" w:eastAsia="仿宋" w:hAnsi="仿宋_GB2312" w:cs="仿宋_GB2312"/>
          <w:color w:val="000000"/>
          <w:kern w:val="0"/>
          <w:sz w:val="32"/>
          <w:szCs w:val="32"/>
        </w:rPr>
        <w:t>%</w:t>
      </w:r>
      <w:r w:rsidRPr="00FD4BAC">
        <w:rPr>
          <w:rFonts w:ascii="仿宋_GB2312" w:eastAsia="仿宋" w:hAnsi="仿宋_GB2312" w:cs="仿宋_GB2312"/>
          <w:color w:val="000000"/>
          <w:kern w:val="0"/>
          <w:sz w:val="32"/>
          <w:szCs w:val="32"/>
        </w:rPr>
        <w:t>。</w:t>
      </w:r>
    </w:p>
    <w:p w:rsidR="00F73F83" w:rsidRPr="00FD4BAC" w:rsidRDefault="00B936AD">
      <w:pPr>
        <w:snapToGrid w:val="0"/>
        <w:spacing w:line="580" w:lineRule="exact"/>
        <w:ind w:firstLineChars="200" w:firstLine="640"/>
        <w:jc w:val="left"/>
        <w:rPr>
          <w:rFonts w:ascii="仿宋_GB2312" w:eastAsia="仿宋" w:hAnsi="Times New Roman" w:cs="DengXian-Regular"/>
          <w:sz w:val="32"/>
          <w:szCs w:val="32"/>
          <w:highlight w:val="yellow"/>
        </w:rPr>
      </w:pPr>
      <w:r>
        <w:rPr>
          <w:rFonts w:ascii="黑体" w:eastAsia="黑体" w:cs="Times New Roman" w:hint="eastAsia"/>
          <w:sz w:val="32"/>
          <w:szCs w:val="32"/>
        </w:rPr>
        <w:t>九、国有资产占用情况</w:t>
      </w:r>
    </w:p>
    <w:p w:rsidR="00F73F83" w:rsidRPr="00FD4BAC" w:rsidRDefault="00B936AD">
      <w:pPr>
        <w:adjustRightInd w:val="0"/>
        <w:snapToGrid w:val="0"/>
        <w:spacing w:line="580" w:lineRule="exact"/>
        <w:ind w:firstLineChars="200" w:firstLine="640"/>
        <w:rPr>
          <w:rFonts w:ascii="仿宋_GB2312" w:eastAsia="仿宋" w:hAnsi="Times New Roman" w:cs="DengXian-Regular"/>
          <w:sz w:val="32"/>
          <w:szCs w:val="32"/>
        </w:rPr>
      </w:pPr>
      <w:r w:rsidRPr="00FD4BAC">
        <w:rPr>
          <w:rFonts w:ascii="仿宋_GB2312" w:eastAsia="仿宋" w:hAnsi="Times New Roman" w:cs="DengXian-Regular" w:hint="eastAsia"/>
          <w:sz w:val="32"/>
          <w:szCs w:val="32"/>
        </w:rPr>
        <w:t>截至</w:t>
      </w:r>
      <w:r w:rsidRPr="00FD4BAC">
        <w:rPr>
          <w:rFonts w:ascii="仿宋_GB2312" w:eastAsia="仿宋" w:hAnsi="Times New Roman" w:cs="DengXian-Regular" w:hint="eastAsia"/>
          <w:sz w:val="32"/>
          <w:szCs w:val="32"/>
        </w:rPr>
        <w:t>2021</w:t>
      </w:r>
      <w:r w:rsidRPr="00FD4BAC">
        <w:rPr>
          <w:rFonts w:ascii="仿宋_GB2312" w:eastAsia="仿宋" w:hAnsi="Times New Roman" w:cs="DengXian-Regular" w:hint="eastAsia"/>
          <w:sz w:val="32"/>
          <w:szCs w:val="32"/>
        </w:rPr>
        <w:t>年</w:t>
      </w:r>
      <w:r w:rsidRPr="00FD4BAC">
        <w:rPr>
          <w:rFonts w:ascii="仿宋_GB2312" w:eastAsia="仿宋" w:hAnsi="Times New Roman" w:cs="DengXian-Regular" w:hint="eastAsia"/>
          <w:sz w:val="32"/>
          <w:szCs w:val="32"/>
        </w:rPr>
        <w:t>12</w:t>
      </w:r>
      <w:r w:rsidRPr="00FD4BAC">
        <w:rPr>
          <w:rFonts w:ascii="仿宋_GB2312" w:eastAsia="仿宋" w:hAnsi="Times New Roman" w:cs="DengXian-Regular" w:hint="eastAsia"/>
          <w:sz w:val="32"/>
          <w:szCs w:val="32"/>
        </w:rPr>
        <w:t>月</w:t>
      </w:r>
      <w:r w:rsidRPr="00FD4BAC">
        <w:rPr>
          <w:rFonts w:ascii="仿宋_GB2312" w:eastAsia="仿宋" w:hAnsi="Times New Roman" w:cs="DengXian-Regular" w:hint="eastAsia"/>
          <w:sz w:val="32"/>
          <w:szCs w:val="32"/>
        </w:rPr>
        <w:t>31</w:t>
      </w:r>
      <w:r w:rsidRPr="00FD4BAC">
        <w:rPr>
          <w:rFonts w:ascii="仿宋_GB2312" w:eastAsia="仿宋" w:hAnsi="Times New Roman" w:cs="DengXian-Regular" w:hint="eastAsia"/>
          <w:sz w:val="32"/>
          <w:szCs w:val="32"/>
        </w:rPr>
        <w:t>日，本</w:t>
      </w:r>
      <w:r w:rsidR="00100D00">
        <w:rPr>
          <w:rFonts w:ascii="仿宋_GB2312" w:eastAsia="仿宋" w:hAnsi="Times New Roman" w:cs="DengXian-Regular"/>
          <w:sz w:val="32"/>
          <w:szCs w:val="32"/>
        </w:rPr>
        <w:t>单位</w:t>
      </w:r>
      <w:r w:rsidRPr="00FD4BAC">
        <w:rPr>
          <w:rFonts w:ascii="仿宋_GB2312" w:eastAsia="仿宋" w:hAnsi="Times New Roman" w:cs="DengXian-Regular" w:hint="eastAsia"/>
          <w:sz w:val="32"/>
          <w:szCs w:val="32"/>
        </w:rPr>
        <w:t>共有车辆</w:t>
      </w:r>
      <w:r w:rsidR="00100D00">
        <w:rPr>
          <w:rFonts w:ascii="仿宋_GB2312" w:eastAsia="仿宋" w:hAnsi="Times New Roman" w:cs="DengXian-Regular"/>
          <w:sz w:val="32"/>
          <w:szCs w:val="32"/>
        </w:rPr>
        <w:t>9</w:t>
      </w:r>
      <w:r w:rsidRPr="00FD4BAC">
        <w:rPr>
          <w:rFonts w:ascii="仿宋_GB2312" w:eastAsia="仿宋" w:hAnsi="Times New Roman" w:cs="DengXian-Regular" w:hint="eastAsia"/>
          <w:sz w:val="32"/>
          <w:szCs w:val="32"/>
        </w:rPr>
        <w:t>辆，</w:t>
      </w:r>
      <w:r w:rsidR="00A379B7"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100D00">
        <w:rPr>
          <w:rFonts w:ascii="仿宋_GB2312" w:eastAsia="仿宋" w:hAnsi="Times New Roman" w:cs="DengXian-Regular"/>
          <w:sz w:val="32"/>
          <w:szCs w:val="32"/>
        </w:rPr>
        <w:t>持平</w:t>
      </w:r>
      <w:r w:rsidRPr="00FD4BAC">
        <w:rPr>
          <w:rFonts w:ascii="仿宋_GB2312" w:eastAsia="仿宋" w:hAnsi="Times New Roman" w:cs="DengXian-Regular" w:hint="eastAsia"/>
          <w:sz w:val="32"/>
          <w:szCs w:val="32"/>
        </w:rPr>
        <w:t>。其中，副部（省）级及以上领导用车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辆，主要领导干部用车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辆，机要通信用车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辆，应急保障用车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辆，执法执勤用车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辆，特种专业技术用车</w:t>
      </w:r>
      <w:r w:rsidR="00100D00">
        <w:rPr>
          <w:rFonts w:ascii="仿宋_GB2312" w:eastAsia="仿宋" w:hAnsi="Times New Roman" w:cs="DengXian-Regular"/>
          <w:sz w:val="32"/>
          <w:szCs w:val="32"/>
        </w:rPr>
        <w:t>6</w:t>
      </w:r>
      <w:r w:rsidRPr="00FD4BAC">
        <w:rPr>
          <w:rFonts w:ascii="仿宋_GB2312" w:eastAsia="仿宋" w:hAnsi="Times New Roman" w:cs="DengXian-Regular" w:hint="eastAsia"/>
          <w:sz w:val="32"/>
          <w:szCs w:val="32"/>
        </w:rPr>
        <w:t>辆，离退休干部用车</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辆，其他用车</w:t>
      </w:r>
      <w:r w:rsidR="00100D00">
        <w:rPr>
          <w:rFonts w:ascii="仿宋_GB2312" w:eastAsia="仿宋" w:hAnsi="Times New Roman" w:cs="DengXian-Regular"/>
          <w:sz w:val="32"/>
          <w:szCs w:val="32"/>
        </w:rPr>
        <w:t>3</w:t>
      </w:r>
      <w:r w:rsidRPr="00FD4BAC">
        <w:rPr>
          <w:rFonts w:ascii="仿宋_GB2312" w:eastAsia="仿宋" w:hAnsi="Times New Roman" w:cs="DengXian-Regular" w:hint="eastAsia"/>
          <w:sz w:val="32"/>
          <w:szCs w:val="32"/>
        </w:rPr>
        <w:t>辆</w:t>
      </w:r>
      <w:r w:rsidR="008A3A95" w:rsidRPr="00FD4BAC">
        <w:rPr>
          <w:rFonts w:ascii="仿宋_GB2312" w:eastAsia="仿宋" w:hAnsi="Times New Roman" w:cs="DengXian-Regular" w:hint="eastAsia"/>
          <w:sz w:val="32"/>
          <w:szCs w:val="32"/>
        </w:rPr>
        <w:t>。</w:t>
      </w:r>
      <w:r w:rsidRPr="00ED61E7">
        <w:rPr>
          <w:rFonts w:ascii="仿宋_GB2312" w:eastAsia="仿宋" w:hAnsi="Times New Roman" w:cs="DengXian-Regular" w:hint="eastAsia"/>
          <w:sz w:val="32"/>
          <w:szCs w:val="32"/>
        </w:rPr>
        <w:t>其他用车主要是</w:t>
      </w:r>
      <w:r w:rsidR="00ED61E7">
        <w:rPr>
          <w:rFonts w:ascii="仿宋_GB2312" w:eastAsia="仿宋" w:hAnsi="Times New Roman" w:cs="DengXian-Regular" w:hint="eastAsia"/>
          <w:sz w:val="32"/>
          <w:szCs w:val="32"/>
        </w:rPr>
        <w:t>医院体检医疗车，公务用车</w:t>
      </w:r>
      <w:r w:rsidR="004A7FD8"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楷体_GB2312" w:eastAsia="楷体" w:hAnsi="Times New Roman" w:cs="DengXian-Bold"/>
          <w:b/>
          <w:bCs/>
          <w:sz w:val="32"/>
          <w:szCs w:val="32"/>
        </w:rPr>
      </w:pPr>
      <w:r w:rsidRPr="00FD4BAC">
        <w:rPr>
          <w:rFonts w:ascii="仿宋_GB2312" w:eastAsia="仿宋" w:hAnsi="Times New Roman" w:cs="DengXian-Regular" w:hint="eastAsia"/>
          <w:sz w:val="32"/>
          <w:szCs w:val="32"/>
        </w:rPr>
        <w:t>单位价值</w:t>
      </w:r>
      <w:r w:rsidRPr="00FD4BAC">
        <w:rPr>
          <w:rFonts w:ascii="仿宋_GB2312" w:eastAsia="仿宋" w:hAnsi="TimesNewRomanPSMT" w:cs="TimesNewRomanPSMT" w:hint="eastAsia"/>
          <w:sz w:val="32"/>
          <w:szCs w:val="32"/>
        </w:rPr>
        <w:t>50</w:t>
      </w:r>
      <w:r w:rsidRPr="00FD4BAC">
        <w:rPr>
          <w:rFonts w:ascii="仿宋_GB2312" w:eastAsia="仿宋" w:hAnsi="Times New Roman" w:cs="DengXian-Regular" w:hint="eastAsia"/>
          <w:sz w:val="32"/>
          <w:szCs w:val="32"/>
        </w:rPr>
        <w:t>万元以上通用设备</w:t>
      </w:r>
      <w:r w:rsidR="00100D00">
        <w:rPr>
          <w:rFonts w:ascii="仿宋_GB2312" w:eastAsia="仿宋" w:hAnsi="Times New Roman" w:cs="DengXian-Regular"/>
          <w:sz w:val="32"/>
          <w:szCs w:val="32"/>
        </w:rPr>
        <w:t>0</w:t>
      </w:r>
      <w:r w:rsidRPr="00FD4BAC">
        <w:rPr>
          <w:rFonts w:ascii="仿宋_GB2312" w:eastAsia="仿宋" w:hAnsi="Times New Roman" w:cs="DengXian-Regular" w:hint="eastAsia"/>
          <w:sz w:val="32"/>
          <w:szCs w:val="32"/>
        </w:rPr>
        <w:t>台（套），</w:t>
      </w:r>
      <w:r w:rsidR="008A3A95"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100D00">
        <w:rPr>
          <w:rFonts w:ascii="仿宋_GB2312" w:eastAsia="仿宋" w:hAnsi="Times New Roman" w:cs="DengXian-Regular"/>
          <w:sz w:val="32"/>
          <w:szCs w:val="32"/>
        </w:rPr>
        <w:t>持平</w:t>
      </w:r>
      <w:r w:rsidR="008A3A95" w:rsidRPr="00FD4BAC">
        <w:rPr>
          <w:rFonts w:ascii="仿宋_GB2312" w:eastAsia="仿宋" w:hAnsi="Times New Roman" w:cs="DengXian-Regular" w:hint="eastAsia"/>
          <w:sz w:val="32"/>
          <w:szCs w:val="32"/>
        </w:rPr>
        <w:t>；</w:t>
      </w:r>
      <w:r w:rsidRPr="00FD4BAC">
        <w:rPr>
          <w:rFonts w:ascii="仿宋_GB2312" w:eastAsia="仿宋" w:hAnsi="Times New Roman" w:cs="DengXian-Regular" w:hint="eastAsia"/>
          <w:sz w:val="32"/>
          <w:szCs w:val="32"/>
        </w:rPr>
        <w:t>单位价值</w:t>
      </w:r>
      <w:r w:rsidRPr="00FD4BAC">
        <w:rPr>
          <w:rFonts w:ascii="仿宋_GB2312" w:eastAsia="仿宋" w:hAnsi="TimesNewRomanPSMT" w:cs="TimesNewRomanPSMT" w:hint="eastAsia"/>
          <w:sz w:val="32"/>
          <w:szCs w:val="32"/>
        </w:rPr>
        <w:t>100</w:t>
      </w:r>
      <w:r w:rsidRPr="00FD4BAC">
        <w:rPr>
          <w:rFonts w:ascii="仿宋_GB2312" w:eastAsia="仿宋" w:hAnsi="Times New Roman" w:cs="DengXian-Regular" w:hint="eastAsia"/>
          <w:sz w:val="32"/>
          <w:szCs w:val="32"/>
        </w:rPr>
        <w:t>万元以上专用设备</w:t>
      </w:r>
      <w:r w:rsidR="00100D00">
        <w:rPr>
          <w:rFonts w:ascii="仿宋_GB2312" w:eastAsia="仿宋" w:hAnsi="Times New Roman" w:cs="DengXian-Regular"/>
          <w:sz w:val="32"/>
          <w:szCs w:val="32"/>
        </w:rPr>
        <w:t>38</w:t>
      </w:r>
      <w:r w:rsidRPr="00FD4BAC">
        <w:rPr>
          <w:rFonts w:ascii="仿宋_GB2312" w:eastAsia="仿宋" w:hAnsi="Times New Roman" w:cs="DengXian-Regular" w:hint="eastAsia"/>
          <w:sz w:val="32"/>
          <w:szCs w:val="32"/>
        </w:rPr>
        <w:t>台（套）</w:t>
      </w:r>
      <w:r w:rsidR="00F65902" w:rsidRPr="00FD4BAC">
        <w:rPr>
          <w:rFonts w:ascii="仿宋_GB2312" w:eastAsia="仿宋" w:hAnsi="Times New Roman" w:cs="DengXian-Regular" w:hint="eastAsia"/>
          <w:sz w:val="32"/>
          <w:szCs w:val="32"/>
        </w:rPr>
        <w:t>,</w:t>
      </w:r>
      <w:r w:rsidR="008A3A95" w:rsidRPr="00FD4BAC">
        <w:rPr>
          <w:rFonts w:ascii="仿宋_GB2312" w:eastAsia="仿宋" w:hAnsi="Times New Roman" w:cs="DengXian-Regular" w:hint="eastAsia"/>
          <w:sz w:val="32"/>
          <w:szCs w:val="32"/>
        </w:rPr>
        <w:t>较</w:t>
      </w:r>
      <w:r w:rsidRPr="00FD4BAC">
        <w:rPr>
          <w:rFonts w:ascii="仿宋_GB2312" w:eastAsia="仿宋" w:hAnsi="Times New Roman" w:cs="DengXian-Regular" w:hint="eastAsia"/>
          <w:sz w:val="32"/>
          <w:szCs w:val="32"/>
        </w:rPr>
        <w:t>上年</w:t>
      </w:r>
      <w:r w:rsidR="00100D00">
        <w:rPr>
          <w:rFonts w:ascii="仿宋_GB2312" w:eastAsia="仿宋" w:hAnsi="Times New Roman" w:cs="DengXian-Regular"/>
          <w:sz w:val="32"/>
          <w:szCs w:val="32"/>
        </w:rPr>
        <w:t>增加</w:t>
      </w:r>
      <w:r w:rsidR="00100D00">
        <w:rPr>
          <w:rFonts w:ascii="仿宋_GB2312" w:eastAsia="仿宋" w:hAnsi="Times New Roman" w:cs="DengXian-Regular"/>
          <w:sz w:val="32"/>
          <w:szCs w:val="32"/>
        </w:rPr>
        <w:t>4</w:t>
      </w:r>
      <w:r w:rsidRPr="00FD4BAC">
        <w:rPr>
          <w:rFonts w:ascii="仿宋_GB2312" w:eastAsia="仿宋" w:hAnsi="Times New Roman" w:cs="DengXian-Regular" w:hint="eastAsia"/>
          <w:sz w:val="32"/>
          <w:szCs w:val="32"/>
        </w:rPr>
        <w:t>套，</w:t>
      </w:r>
      <w:r w:rsidRPr="00D9752C">
        <w:rPr>
          <w:rFonts w:ascii="仿宋_GB2312" w:eastAsia="仿宋" w:hAnsi="Times New Roman" w:cs="DengXian-Regular" w:hint="eastAsia"/>
          <w:sz w:val="32"/>
          <w:szCs w:val="32"/>
        </w:rPr>
        <w:t>主要是</w:t>
      </w:r>
      <w:r w:rsidR="00ED61E7">
        <w:rPr>
          <w:rFonts w:ascii="仿宋_GB2312" w:eastAsia="仿宋" w:hAnsi="Times New Roman" w:cs="DengXian-Regular" w:hint="eastAsia"/>
          <w:sz w:val="32"/>
          <w:szCs w:val="32"/>
        </w:rPr>
        <w:t>医院开展新技术新项目，新增泌尿外科相关检查及手术设备</w:t>
      </w:r>
      <w:r w:rsidRPr="00FD4BAC">
        <w:rPr>
          <w:rFonts w:ascii="仿宋_GB2312" w:eastAsia="仿宋" w:hAnsi="Times New Roman" w:cs="DengXian-Regular" w:hint="eastAsia"/>
          <w:sz w:val="32"/>
          <w:szCs w:val="32"/>
        </w:rPr>
        <w:t>。</w:t>
      </w:r>
    </w:p>
    <w:p w:rsidR="00F73F83" w:rsidRPr="00FD4BAC" w:rsidRDefault="00B936AD">
      <w:pPr>
        <w:adjustRightInd w:val="0"/>
        <w:snapToGrid w:val="0"/>
        <w:spacing w:line="580" w:lineRule="exact"/>
        <w:ind w:firstLineChars="200" w:firstLine="640"/>
        <w:rPr>
          <w:rFonts w:ascii="楷体_GB2312" w:eastAsia="楷体" w:hAnsi="Times New Roman" w:cs="DengXian-Bold"/>
          <w:b/>
          <w:bCs/>
          <w:sz w:val="32"/>
          <w:szCs w:val="32"/>
        </w:rPr>
      </w:pPr>
      <w:r>
        <w:rPr>
          <w:rFonts w:ascii="黑体" w:eastAsia="黑体" w:cs="Times New Roman" w:hint="eastAsia"/>
          <w:sz w:val="32"/>
          <w:szCs w:val="32"/>
        </w:rPr>
        <w:t>十、其他需要说明的情况</w:t>
      </w:r>
    </w:p>
    <w:p w:rsidR="007E0FD9" w:rsidRPr="00FD4BAC" w:rsidRDefault="00100D00" w:rsidP="008A3A95">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t>1.</w:t>
      </w:r>
      <w:r>
        <w:rPr>
          <w:rFonts w:ascii="仿宋_GB2312" w:eastAsia="仿宋" w:hAnsi="Times New Roman" w:cs="DengXian-Regular"/>
          <w:sz w:val="32"/>
          <w:szCs w:val="32"/>
        </w:rPr>
        <w:t>本部门</w:t>
      </w:r>
      <w:r>
        <w:rPr>
          <w:rFonts w:ascii="仿宋_GB2312" w:eastAsia="仿宋" w:hAnsi="Times New Roman" w:cs="DengXian-Regular"/>
          <w:sz w:val="32"/>
          <w:szCs w:val="32"/>
        </w:rPr>
        <w:t>2021</w:t>
      </w:r>
      <w:r>
        <w:rPr>
          <w:rFonts w:ascii="仿宋_GB2312" w:eastAsia="仿宋" w:hAnsi="Times New Roman" w:cs="DengXian-Regular"/>
          <w:sz w:val="32"/>
          <w:szCs w:val="32"/>
        </w:rPr>
        <w:t>年度一般公共预算财政拨款</w:t>
      </w:r>
      <w:r>
        <w:rPr>
          <w:rFonts w:ascii="仿宋_GB2312" w:eastAsia="仿宋" w:hAnsi="Times New Roman" w:cs="DengXian-Regular"/>
          <w:sz w:val="32"/>
          <w:szCs w:val="32"/>
        </w:rPr>
        <w:t>“</w:t>
      </w:r>
      <w:r>
        <w:rPr>
          <w:rFonts w:ascii="仿宋_GB2312" w:eastAsia="仿宋" w:hAnsi="Times New Roman" w:cs="DengXian-Regular"/>
          <w:sz w:val="32"/>
          <w:szCs w:val="32"/>
        </w:rPr>
        <w:t>三公</w:t>
      </w:r>
      <w:r>
        <w:rPr>
          <w:rFonts w:ascii="仿宋_GB2312" w:eastAsia="仿宋" w:hAnsi="Times New Roman" w:cs="DengXian-Regular"/>
          <w:sz w:val="32"/>
          <w:szCs w:val="32"/>
        </w:rPr>
        <w:t>”</w:t>
      </w:r>
      <w:r>
        <w:rPr>
          <w:rFonts w:ascii="仿宋_GB2312" w:eastAsia="仿宋" w:hAnsi="Times New Roman" w:cs="DengXian-Regular"/>
          <w:sz w:val="32"/>
          <w:szCs w:val="32"/>
        </w:rPr>
        <w:t>经费无收支及结转结余情况，故公开</w:t>
      </w:r>
      <w:r>
        <w:rPr>
          <w:rFonts w:ascii="仿宋_GB2312" w:eastAsia="仿宋" w:hAnsi="Times New Roman" w:cs="DengXian-Regular"/>
          <w:sz w:val="32"/>
          <w:szCs w:val="32"/>
        </w:rPr>
        <w:t>07</w:t>
      </w:r>
      <w:r w:rsidR="007339A8">
        <w:rPr>
          <w:rFonts w:ascii="仿宋_GB2312" w:eastAsia="仿宋" w:hAnsi="Times New Roman" w:cs="DengXian-Regular"/>
          <w:sz w:val="32"/>
          <w:szCs w:val="32"/>
        </w:rPr>
        <w:t>表</w:t>
      </w:r>
      <w:r>
        <w:rPr>
          <w:rFonts w:ascii="仿宋_GB2312" w:eastAsia="仿宋" w:hAnsi="Times New Roman" w:cs="DengXian-Regular"/>
          <w:sz w:val="32"/>
          <w:szCs w:val="32"/>
        </w:rPr>
        <w:t>以空表列示</w:t>
      </w:r>
      <w:r>
        <w:rPr>
          <w:rFonts w:ascii="仿宋_GB2312" w:eastAsia="仿宋" w:hAnsi="Times New Roman" w:cs="DengXian-Regular"/>
          <w:sz w:val="32"/>
          <w:szCs w:val="32"/>
        </w:rPr>
        <w:t>;</w:t>
      </w:r>
      <w:r>
        <w:rPr>
          <w:rFonts w:ascii="仿宋_GB2312" w:eastAsia="仿宋" w:hAnsi="Times New Roman" w:cs="DengXian-Regular"/>
          <w:sz w:val="32"/>
          <w:szCs w:val="32"/>
        </w:rPr>
        <w:t>政府性基金预算财政拨款无收支及结转结余情况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08</w:t>
      </w:r>
      <w:r w:rsidR="007339A8">
        <w:rPr>
          <w:rFonts w:ascii="仿宋_GB2312" w:eastAsia="仿宋" w:hAnsi="Times New Roman" w:cs="DengXian-Regular"/>
          <w:sz w:val="32"/>
          <w:szCs w:val="32"/>
        </w:rPr>
        <w:t>表</w:t>
      </w:r>
      <w:r>
        <w:rPr>
          <w:rFonts w:ascii="仿宋_GB2312" w:eastAsia="仿宋" w:hAnsi="Times New Roman" w:cs="DengXian-Regular"/>
          <w:sz w:val="32"/>
          <w:szCs w:val="32"/>
        </w:rPr>
        <w:t>以空表列示</w:t>
      </w:r>
      <w:r>
        <w:rPr>
          <w:rFonts w:ascii="仿宋_GB2312" w:eastAsia="仿宋" w:hAnsi="Times New Roman" w:cs="DengXian-Regular"/>
          <w:sz w:val="32"/>
          <w:szCs w:val="32"/>
        </w:rPr>
        <w:t xml:space="preserve">; </w:t>
      </w:r>
      <w:r>
        <w:rPr>
          <w:rFonts w:ascii="仿宋_GB2312" w:eastAsia="仿宋" w:hAnsi="Times New Roman" w:cs="DengXian-Regular"/>
          <w:sz w:val="32"/>
          <w:szCs w:val="32"/>
        </w:rPr>
        <w:t>国有资本经营预算经费无收支及结转结余情况</w:t>
      </w:r>
      <w:r>
        <w:rPr>
          <w:rFonts w:ascii="仿宋_GB2312" w:eastAsia="仿宋" w:hAnsi="Times New Roman" w:cs="DengXian-Regular"/>
          <w:sz w:val="32"/>
          <w:szCs w:val="32"/>
        </w:rPr>
        <w:t xml:space="preserve">, </w:t>
      </w:r>
      <w:r>
        <w:rPr>
          <w:rFonts w:ascii="仿宋_GB2312" w:eastAsia="仿宋" w:hAnsi="Times New Roman" w:cs="DengXian-Regular"/>
          <w:sz w:val="32"/>
          <w:szCs w:val="32"/>
        </w:rPr>
        <w:t>故公开</w:t>
      </w:r>
      <w:r>
        <w:rPr>
          <w:rFonts w:ascii="仿宋_GB2312" w:eastAsia="仿宋" w:hAnsi="Times New Roman" w:cs="DengXian-Regular"/>
          <w:sz w:val="32"/>
          <w:szCs w:val="32"/>
        </w:rPr>
        <w:t>09</w:t>
      </w:r>
      <w:r>
        <w:rPr>
          <w:rFonts w:ascii="仿宋_GB2312" w:eastAsia="仿宋" w:hAnsi="Times New Roman" w:cs="DengXian-Regular"/>
          <w:sz w:val="32"/>
          <w:szCs w:val="32"/>
        </w:rPr>
        <w:t>表以空表列示。</w:t>
      </w:r>
    </w:p>
    <w:p w:rsidR="00F73F83" w:rsidRPr="00FD4BAC" w:rsidRDefault="00100D00">
      <w:pPr>
        <w:adjustRightInd w:val="0"/>
        <w:snapToGrid w:val="0"/>
        <w:spacing w:line="580" w:lineRule="exact"/>
        <w:ind w:firstLineChars="200" w:firstLine="640"/>
        <w:rPr>
          <w:rFonts w:ascii="仿宋_GB2312" w:eastAsia="仿宋" w:hAnsi="Times New Roman" w:cs="DengXian-Regular"/>
          <w:sz w:val="32"/>
          <w:szCs w:val="32"/>
        </w:rPr>
      </w:pPr>
      <w:r>
        <w:rPr>
          <w:rFonts w:ascii="仿宋_GB2312" w:eastAsia="仿宋" w:hAnsi="Times New Roman" w:cs="DengXian-Regular"/>
          <w:sz w:val="32"/>
          <w:szCs w:val="32"/>
        </w:rPr>
        <w:lastRenderedPageBreak/>
        <w:t>2</w:t>
      </w:r>
      <w:r w:rsidR="00B936AD" w:rsidRPr="00FD4BAC">
        <w:rPr>
          <w:rFonts w:ascii="仿宋_GB2312" w:eastAsia="仿宋" w:hAnsi="Times New Roman" w:cs="DengXian-Regular" w:hint="eastAsia"/>
          <w:sz w:val="32"/>
          <w:szCs w:val="32"/>
        </w:rPr>
        <w:t>.</w:t>
      </w:r>
      <w:r w:rsidR="00B936AD" w:rsidRPr="00FD4BAC">
        <w:rPr>
          <w:rFonts w:ascii="仿宋_GB2312" w:eastAsia="仿宋"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CC4FDE" w:rsidRDefault="00CC4FDE" w:rsidP="0076554D">
      <w:pPr>
        <w:widowControl/>
        <w:rPr>
          <w:rFonts w:ascii="宋体" w:hAnsi="宋体" w:cs="MS-UIGothic,Bold"/>
          <w:b/>
          <w:bCs/>
          <w:kern w:val="0"/>
          <w:sz w:val="44"/>
          <w:szCs w:val="44"/>
        </w:rPr>
      </w:pPr>
    </w:p>
    <w:p w:rsidR="0076554D" w:rsidRDefault="0076554D" w:rsidP="0076554D">
      <w:pPr>
        <w:widowControl/>
        <w:rPr>
          <w:rFonts w:ascii="宋体" w:hAnsi="宋体" w:cs="MS-UIGothic,Bold"/>
          <w:b/>
          <w:bCs/>
          <w:kern w:val="0"/>
          <w:sz w:val="44"/>
          <w:szCs w:val="44"/>
        </w:rPr>
      </w:pPr>
    </w:p>
    <w:p w:rsidR="0076554D" w:rsidRDefault="0076554D" w:rsidP="0076554D">
      <w:pPr>
        <w:widowControl/>
        <w:rPr>
          <w:rFonts w:ascii="黑体" w:eastAsia="黑体" w:hAnsi="黑体" w:cs="黑体"/>
          <w:color w:val="000000"/>
          <w:sz w:val="44"/>
          <w:szCs w:val="44"/>
        </w:rPr>
      </w:pPr>
    </w:p>
    <w:p w:rsidR="00CC4FDE" w:rsidRDefault="00CC4FDE">
      <w:pPr>
        <w:widowControl/>
        <w:jc w:val="center"/>
        <w:rPr>
          <w:rFonts w:ascii="黑体" w:eastAsia="黑体" w:hAnsi="黑体" w:cs="黑体"/>
          <w:color w:val="000000"/>
          <w:sz w:val="44"/>
          <w:szCs w:val="44"/>
        </w:rPr>
      </w:pPr>
      <w:bookmarkStart w:id="1" w:name="_GoBack"/>
      <w:bookmarkEnd w:id="1"/>
    </w:p>
    <w:p w:rsidR="00CC4FDE" w:rsidRDefault="00CC4FDE">
      <w:pPr>
        <w:widowControl/>
        <w:jc w:val="center"/>
        <w:rPr>
          <w:rFonts w:ascii="黑体" w:eastAsia="黑体" w:hAnsi="黑体" w:cs="黑体"/>
          <w:color w:val="000000"/>
          <w:sz w:val="44"/>
          <w:szCs w:val="44"/>
        </w:rPr>
      </w:pPr>
    </w:p>
    <w:p w:rsidR="00CC4FDE" w:rsidRPr="00CC4FDE" w:rsidRDefault="00CC4FDE">
      <w:pPr>
        <w:widowControl/>
        <w:jc w:val="center"/>
        <w:rPr>
          <w:rFonts w:ascii="黑体" w:eastAsia="黑体" w:hAnsi="黑体" w:cs="黑体"/>
          <w:color w:val="000000"/>
          <w:sz w:val="44"/>
          <w:szCs w:val="44"/>
        </w:rPr>
      </w:pPr>
    </w:p>
    <w:p w:rsidR="00F73F83" w:rsidRDefault="00F73F83">
      <w:pPr>
        <w:widowControl/>
        <w:jc w:val="center"/>
        <w:rPr>
          <w:rFonts w:ascii="黑体" w:eastAsia="黑体" w:hAnsi="黑体" w:cs="黑体"/>
          <w:color w:val="000000"/>
          <w:sz w:val="44"/>
          <w:szCs w:val="44"/>
        </w:rPr>
      </w:pPr>
    </w:p>
    <w:p w:rsidR="00F73F83" w:rsidRDefault="00CC4FDE">
      <w:pPr>
        <w:widowControl/>
        <w:jc w:val="center"/>
        <w:rPr>
          <w:rFonts w:ascii="黑体" w:eastAsia="黑体" w:hAnsi="黑体" w:cs="黑体"/>
          <w:color w:val="000000"/>
          <w:sz w:val="44"/>
          <w:szCs w:val="44"/>
        </w:rPr>
      </w:pPr>
      <w:r>
        <w:rPr>
          <w:rFonts w:ascii="仿宋_GB2312" w:eastAsia="仿宋_GB2312" w:hAnsi="宋体" w:cs="Times New Roman" w:hint="eastAsia"/>
          <w:noProof/>
          <w:color w:val="000000"/>
          <w:kern w:val="0"/>
          <w:sz w:val="32"/>
          <w:szCs w:val="32"/>
        </w:rPr>
        <w:drawing>
          <wp:anchor distT="0" distB="0" distL="0" distR="0" simplePos="0" relativeHeight="251661824" behindDoc="0" locked="0" layoutInCell="1" allowOverlap="1">
            <wp:simplePos x="0" y="0"/>
            <wp:positionH relativeFrom="column">
              <wp:posOffset>389890</wp:posOffset>
            </wp:positionH>
            <wp:positionV relativeFrom="margin">
              <wp:posOffset>2356485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40" cstate="print"/>
                    <a:srcRect/>
                    <a:stretch/>
                  </pic:blipFill>
                  <pic:spPr>
                    <a:xfrm>
                      <a:off x="0" y="0"/>
                      <a:ext cx="640080" cy="640080"/>
                    </a:xfrm>
                    <a:prstGeom prst="rect">
                      <a:avLst/>
                    </a:prstGeom>
                  </pic:spPr>
                </pic:pic>
              </a:graphicData>
            </a:graphic>
          </wp:anchor>
        </w:drawing>
      </w:r>
    </w:p>
    <w:p w:rsidR="00CC4FDE" w:rsidRDefault="00B936AD" w:rsidP="00CC4FDE">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第四部分 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FD4BAC">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sidRPr="00FD4BAC">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36" w:rsidRDefault="007F2F36">
      <w:r>
        <w:separator/>
      </w:r>
    </w:p>
  </w:endnote>
  <w:endnote w:type="continuationSeparator" w:id="1">
    <w:p w:rsidR="007F2F36" w:rsidRDefault="007F2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NewRomanPSMT">
    <w:altName w:val="等线"/>
    <w:charset w:val="86"/>
    <w:family w:val="auto"/>
    <w:pitch w:val="default"/>
    <w:sig w:usb0="00000001" w:usb1="080E0000" w:usb2="00000010" w:usb3="00000000" w:csb0="0004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99639"/>
      <w:docPartObj>
        <w:docPartGallery w:val="Page Numbers (Bottom of Page)"/>
        <w:docPartUnique/>
      </w:docPartObj>
    </w:sdtPr>
    <w:sdtContent>
      <w:p w:rsidR="005C23CE" w:rsidRPr="00B42AD3" w:rsidRDefault="006137BB">
        <w:pPr>
          <w:pStyle w:val="a3"/>
          <w:jc w:val="center"/>
        </w:pPr>
        <w:r w:rsidRPr="006137BB">
          <w:fldChar w:fldCharType="begin"/>
        </w:r>
        <w:r w:rsidR="007F0E48">
          <w:instrText>PAGE   \* MERGEFORMAT</w:instrText>
        </w:r>
        <w:r w:rsidRPr="006137BB">
          <w:fldChar w:fldCharType="separate"/>
        </w:r>
        <w:r w:rsidR="007339A8" w:rsidRPr="007339A8">
          <w:rPr>
            <w:noProof/>
            <w:lang w:val="zh-CN"/>
          </w:rPr>
          <w:t>1</w:t>
        </w:r>
        <w:r>
          <w:rPr>
            <w:noProof/>
            <w:lang w:val="zh-CN"/>
          </w:rPr>
          <w:fldChar w:fldCharType="end"/>
        </w:r>
      </w:p>
    </w:sdtContent>
  </w:sdt>
  <w:p w:rsidR="005C23CE" w:rsidRDefault="005C23C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610977"/>
      <w:docPartObj>
        <w:docPartGallery w:val="Page Numbers (Bottom of Page)"/>
        <w:docPartUnique/>
      </w:docPartObj>
    </w:sdtPr>
    <w:sdtEndPr>
      <w:rPr>
        <w:rFonts w:ascii="Batang" w:eastAsia="Batang" w:hAnsi="Batang"/>
        <w:sz w:val="21"/>
        <w:szCs w:val="21"/>
      </w:rPr>
    </w:sdtEndPr>
    <w:sdtContent>
      <w:p w:rsidR="005C23CE" w:rsidRPr="001E3E9F" w:rsidRDefault="006137BB">
        <w:pPr>
          <w:pStyle w:val="a3"/>
          <w:jc w:val="center"/>
          <w:rPr>
            <w:rFonts w:ascii="Batang" w:eastAsia="Batang" w:hAnsi="Batang"/>
            <w:sz w:val="21"/>
            <w:szCs w:val="21"/>
          </w:rPr>
        </w:pPr>
        <w:r w:rsidRPr="001E3E9F">
          <w:rPr>
            <w:rFonts w:ascii="Batang" w:eastAsia="Batang" w:hAnsi="Batang"/>
            <w:sz w:val="21"/>
            <w:szCs w:val="21"/>
          </w:rPr>
          <w:fldChar w:fldCharType="begin"/>
        </w:r>
        <w:r w:rsidR="005C23CE" w:rsidRPr="001E3E9F">
          <w:rPr>
            <w:rFonts w:ascii="Batang" w:eastAsia="Batang" w:hAnsi="Batang"/>
            <w:sz w:val="21"/>
            <w:szCs w:val="21"/>
          </w:rPr>
          <w:instrText>PAGE   \* MERGEFORMAT</w:instrText>
        </w:r>
        <w:r w:rsidRPr="001E3E9F">
          <w:rPr>
            <w:rFonts w:ascii="Batang" w:eastAsia="Batang" w:hAnsi="Batang"/>
            <w:sz w:val="21"/>
            <w:szCs w:val="21"/>
          </w:rPr>
          <w:fldChar w:fldCharType="separate"/>
        </w:r>
        <w:r w:rsidR="007339A8" w:rsidRPr="007339A8">
          <w:rPr>
            <w:rFonts w:ascii="Batang" w:eastAsia="Batang" w:hAnsi="Batang"/>
            <w:noProof/>
            <w:sz w:val="21"/>
            <w:szCs w:val="21"/>
            <w:lang w:val="zh-CN"/>
          </w:rPr>
          <w:t>-</w:t>
        </w:r>
        <w:r w:rsidR="007339A8">
          <w:rPr>
            <w:rFonts w:ascii="Batang" w:eastAsia="Batang" w:hAnsi="Batang"/>
            <w:noProof/>
            <w:sz w:val="21"/>
            <w:szCs w:val="21"/>
          </w:rPr>
          <w:t xml:space="preserve"> 27 -</w:t>
        </w:r>
        <w:r w:rsidRPr="001E3E9F">
          <w:rPr>
            <w:rFonts w:ascii="Batang" w:eastAsia="Batang" w:hAnsi="Batang"/>
            <w:sz w:val="21"/>
            <w:szCs w:val="21"/>
          </w:rPr>
          <w:fldChar w:fldCharType="end"/>
        </w:r>
      </w:p>
    </w:sdtContent>
  </w:sdt>
  <w:p w:rsidR="005C23CE" w:rsidRDefault="005C23CE">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337391"/>
      <w:docPartObj>
        <w:docPartGallery w:val="Page Numbers (Bottom of Page)"/>
        <w:docPartUnique/>
      </w:docPartObj>
    </w:sdtPr>
    <w:sdtEndPr>
      <w:rPr>
        <w:rFonts w:ascii="Batang" w:eastAsia="Batang" w:hAnsi="Batang"/>
        <w:sz w:val="21"/>
        <w:szCs w:val="21"/>
      </w:rPr>
    </w:sdtEndPr>
    <w:sdtContent>
      <w:p w:rsidR="005C23CE" w:rsidRPr="00F7099F" w:rsidRDefault="006137BB">
        <w:pPr>
          <w:pStyle w:val="a3"/>
          <w:jc w:val="center"/>
          <w:rPr>
            <w:rFonts w:ascii="Batang" w:eastAsia="Batang" w:hAnsi="Batang"/>
            <w:sz w:val="21"/>
            <w:szCs w:val="21"/>
          </w:rPr>
        </w:pPr>
        <w:r w:rsidRPr="00F7099F">
          <w:rPr>
            <w:rFonts w:ascii="Batang" w:eastAsia="Batang" w:hAnsi="Batang"/>
            <w:sz w:val="21"/>
            <w:szCs w:val="21"/>
          </w:rPr>
          <w:fldChar w:fldCharType="begin"/>
        </w:r>
        <w:r w:rsidR="005C23CE" w:rsidRPr="00F7099F">
          <w:rPr>
            <w:rFonts w:ascii="Batang" w:eastAsia="Batang" w:hAnsi="Batang"/>
            <w:sz w:val="21"/>
            <w:szCs w:val="21"/>
          </w:rPr>
          <w:instrText>PAGE   \* MERGEFORMAT</w:instrText>
        </w:r>
        <w:r w:rsidRPr="00F7099F">
          <w:rPr>
            <w:rFonts w:ascii="Batang" w:eastAsia="Batang" w:hAnsi="Batang"/>
            <w:sz w:val="21"/>
            <w:szCs w:val="21"/>
          </w:rPr>
          <w:fldChar w:fldCharType="separate"/>
        </w:r>
        <w:r w:rsidR="007339A8" w:rsidRPr="007339A8">
          <w:rPr>
            <w:rFonts w:ascii="Batang" w:eastAsia="Batang" w:hAnsi="Batang"/>
            <w:noProof/>
            <w:sz w:val="21"/>
            <w:szCs w:val="21"/>
            <w:lang w:val="zh-CN"/>
          </w:rPr>
          <w:t>-</w:t>
        </w:r>
        <w:r w:rsidR="007339A8">
          <w:rPr>
            <w:rFonts w:ascii="Batang" w:eastAsia="Batang" w:hAnsi="Batang"/>
            <w:noProof/>
            <w:sz w:val="21"/>
            <w:szCs w:val="21"/>
          </w:rPr>
          <w:t xml:space="preserve"> 8 -</w:t>
        </w:r>
        <w:r w:rsidRPr="00F7099F">
          <w:rPr>
            <w:rFonts w:ascii="Batang" w:eastAsia="Batang" w:hAnsi="Batang"/>
            <w:sz w:val="21"/>
            <w:szCs w:val="21"/>
          </w:rPr>
          <w:fldChar w:fldCharType="end"/>
        </w:r>
      </w:p>
    </w:sdtContent>
  </w:sdt>
  <w:p w:rsidR="005C23CE" w:rsidRDefault="005C23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36" w:rsidRDefault="007F2F36">
      <w:r>
        <w:separator/>
      </w:r>
    </w:p>
  </w:footnote>
  <w:footnote w:type="continuationSeparator" w:id="1">
    <w:p w:rsidR="007F2F36" w:rsidRDefault="007F2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CE" w:rsidRDefault="005C23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F83"/>
    <w:rsid w:val="00002FE6"/>
    <w:rsid w:val="00012098"/>
    <w:rsid w:val="00020055"/>
    <w:rsid w:val="00027377"/>
    <w:rsid w:val="0004064B"/>
    <w:rsid w:val="00046EDD"/>
    <w:rsid w:val="00071F7C"/>
    <w:rsid w:val="000A7A9D"/>
    <w:rsid w:val="000C1F60"/>
    <w:rsid w:val="000D1FD2"/>
    <w:rsid w:val="000E152C"/>
    <w:rsid w:val="000E5C3D"/>
    <w:rsid w:val="00100D00"/>
    <w:rsid w:val="00106D6A"/>
    <w:rsid w:val="001407F1"/>
    <w:rsid w:val="00142DF1"/>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428DB"/>
    <w:rsid w:val="003512E0"/>
    <w:rsid w:val="003A0921"/>
    <w:rsid w:val="003A71A6"/>
    <w:rsid w:val="003E7FED"/>
    <w:rsid w:val="003F01D0"/>
    <w:rsid w:val="0040158C"/>
    <w:rsid w:val="004153AB"/>
    <w:rsid w:val="00431BB6"/>
    <w:rsid w:val="00437142"/>
    <w:rsid w:val="00441703"/>
    <w:rsid w:val="0044343F"/>
    <w:rsid w:val="00444345"/>
    <w:rsid w:val="00456E65"/>
    <w:rsid w:val="004779DD"/>
    <w:rsid w:val="004852B3"/>
    <w:rsid w:val="00491411"/>
    <w:rsid w:val="004954B4"/>
    <w:rsid w:val="00496E97"/>
    <w:rsid w:val="004A1033"/>
    <w:rsid w:val="004A7FD8"/>
    <w:rsid w:val="004C420F"/>
    <w:rsid w:val="004E4B21"/>
    <w:rsid w:val="004E6115"/>
    <w:rsid w:val="004F7963"/>
    <w:rsid w:val="0054483B"/>
    <w:rsid w:val="00546B8F"/>
    <w:rsid w:val="00551C9B"/>
    <w:rsid w:val="005803B8"/>
    <w:rsid w:val="005900FA"/>
    <w:rsid w:val="005A3F94"/>
    <w:rsid w:val="005A47BB"/>
    <w:rsid w:val="005B0298"/>
    <w:rsid w:val="005C23CE"/>
    <w:rsid w:val="005D23F6"/>
    <w:rsid w:val="006137BB"/>
    <w:rsid w:val="00624BBA"/>
    <w:rsid w:val="006537E6"/>
    <w:rsid w:val="0066677D"/>
    <w:rsid w:val="006A0261"/>
    <w:rsid w:val="00712122"/>
    <w:rsid w:val="007339A8"/>
    <w:rsid w:val="0076554D"/>
    <w:rsid w:val="00776995"/>
    <w:rsid w:val="00794FD2"/>
    <w:rsid w:val="007977FC"/>
    <w:rsid w:val="007A3B00"/>
    <w:rsid w:val="007A3EBA"/>
    <w:rsid w:val="007A7A0A"/>
    <w:rsid w:val="007D393D"/>
    <w:rsid w:val="007D6E48"/>
    <w:rsid w:val="007E0FD9"/>
    <w:rsid w:val="007E473A"/>
    <w:rsid w:val="007F0E48"/>
    <w:rsid w:val="007F2F36"/>
    <w:rsid w:val="007F7B0D"/>
    <w:rsid w:val="00831F2E"/>
    <w:rsid w:val="00836365"/>
    <w:rsid w:val="0087739F"/>
    <w:rsid w:val="00892D76"/>
    <w:rsid w:val="0089588E"/>
    <w:rsid w:val="008960B7"/>
    <w:rsid w:val="008A3227"/>
    <w:rsid w:val="008A3A95"/>
    <w:rsid w:val="008B150B"/>
    <w:rsid w:val="008B2C24"/>
    <w:rsid w:val="008D4A9C"/>
    <w:rsid w:val="00914B84"/>
    <w:rsid w:val="009151A5"/>
    <w:rsid w:val="009165F3"/>
    <w:rsid w:val="00932DD0"/>
    <w:rsid w:val="0095463C"/>
    <w:rsid w:val="009603D3"/>
    <w:rsid w:val="00962748"/>
    <w:rsid w:val="0096601A"/>
    <w:rsid w:val="00977DF8"/>
    <w:rsid w:val="009B6AF3"/>
    <w:rsid w:val="009C6CBF"/>
    <w:rsid w:val="009E4245"/>
    <w:rsid w:val="00A31AAA"/>
    <w:rsid w:val="00A34545"/>
    <w:rsid w:val="00A379B7"/>
    <w:rsid w:val="00A40161"/>
    <w:rsid w:val="00A56ACB"/>
    <w:rsid w:val="00A5734C"/>
    <w:rsid w:val="00B3128E"/>
    <w:rsid w:val="00B3503C"/>
    <w:rsid w:val="00B42AD3"/>
    <w:rsid w:val="00B507E6"/>
    <w:rsid w:val="00B936AD"/>
    <w:rsid w:val="00BF45DB"/>
    <w:rsid w:val="00C14493"/>
    <w:rsid w:val="00C601FE"/>
    <w:rsid w:val="00C61CFF"/>
    <w:rsid w:val="00C72E33"/>
    <w:rsid w:val="00C813F4"/>
    <w:rsid w:val="00CB1037"/>
    <w:rsid w:val="00CC3BE5"/>
    <w:rsid w:val="00CC4FDE"/>
    <w:rsid w:val="00CD03A9"/>
    <w:rsid w:val="00CE4E8F"/>
    <w:rsid w:val="00D02E44"/>
    <w:rsid w:val="00D21F27"/>
    <w:rsid w:val="00D22241"/>
    <w:rsid w:val="00D34272"/>
    <w:rsid w:val="00D4237E"/>
    <w:rsid w:val="00D434A9"/>
    <w:rsid w:val="00D4463D"/>
    <w:rsid w:val="00D51065"/>
    <w:rsid w:val="00D76ECA"/>
    <w:rsid w:val="00D9752C"/>
    <w:rsid w:val="00DA48FD"/>
    <w:rsid w:val="00DB3CEE"/>
    <w:rsid w:val="00DD00B3"/>
    <w:rsid w:val="00E068EA"/>
    <w:rsid w:val="00E1386D"/>
    <w:rsid w:val="00E20514"/>
    <w:rsid w:val="00E24A2B"/>
    <w:rsid w:val="00E32A76"/>
    <w:rsid w:val="00E73C82"/>
    <w:rsid w:val="00E7597B"/>
    <w:rsid w:val="00E82D3E"/>
    <w:rsid w:val="00E90B9F"/>
    <w:rsid w:val="00EA0DAC"/>
    <w:rsid w:val="00EA5CC4"/>
    <w:rsid w:val="00EA781A"/>
    <w:rsid w:val="00EB0B87"/>
    <w:rsid w:val="00EC0D10"/>
    <w:rsid w:val="00ED61E7"/>
    <w:rsid w:val="00F03B3E"/>
    <w:rsid w:val="00F05D11"/>
    <w:rsid w:val="00F1340E"/>
    <w:rsid w:val="00F51FFA"/>
    <w:rsid w:val="00F65902"/>
    <w:rsid w:val="00F707AD"/>
    <w:rsid w:val="00F7099F"/>
    <w:rsid w:val="00F73F83"/>
    <w:rsid w:val="00F9362C"/>
    <w:rsid w:val="00FD4BAC"/>
    <w:rsid w:val="00FF2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5F3"/>
    <w:pPr>
      <w:widowControl w:val="0"/>
      <w:jc w:val="both"/>
    </w:pPr>
    <w:rPr>
      <w:kern w:val="2"/>
      <w:sz w:val="21"/>
      <w:szCs w:val="22"/>
    </w:rPr>
  </w:style>
  <w:style w:type="paragraph" w:styleId="1">
    <w:name w:val="heading 1"/>
    <w:basedOn w:val="a"/>
    <w:next w:val="a"/>
    <w:uiPriority w:val="9"/>
    <w:qFormat/>
    <w:rsid w:val="009165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165F3"/>
    <w:pPr>
      <w:tabs>
        <w:tab w:val="center" w:pos="4153"/>
        <w:tab w:val="right" w:pos="8306"/>
      </w:tabs>
      <w:snapToGrid w:val="0"/>
      <w:jc w:val="left"/>
    </w:pPr>
    <w:rPr>
      <w:sz w:val="18"/>
      <w:szCs w:val="18"/>
    </w:rPr>
  </w:style>
  <w:style w:type="paragraph" w:styleId="a4">
    <w:name w:val="header"/>
    <w:basedOn w:val="a"/>
    <w:qFormat/>
    <w:rsid w:val="009165F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9165F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paragraph" w:styleId="a6">
    <w:name w:val="Balloon Text"/>
    <w:basedOn w:val="a"/>
    <w:link w:val="Char0"/>
    <w:uiPriority w:val="99"/>
    <w:semiHidden/>
    <w:unhideWhenUsed/>
    <w:rsid w:val="00D9752C"/>
    <w:rPr>
      <w:sz w:val="18"/>
      <w:szCs w:val="18"/>
    </w:rPr>
  </w:style>
  <w:style w:type="character" w:customStyle="1" w:styleId="Char0">
    <w:name w:val="批注框文本 Char"/>
    <w:basedOn w:val="a0"/>
    <w:link w:val="a6"/>
    <w:uiPriority w:val="99"/>
    <w:semiHidden/>
    <w:rsid w:val="00D9752C"/>
    <w:rPr>
      <w:kern w:val="2"/>
      <w:sz w:val="18"/>
      <w:szCs w:val="18"/>
    </w:rPr>
  </w:style>
</w:styles>
</file>

<file path=word/webSettings.xml><?xml version="1.0" encoding="utf-8"?>
<w:webSettings xmlns:r="http://schemas.openxmlformats.org/officeDocument/2006/relationships" xmlns:w="http://schemas.openxmlformats.org/wordprocessingml/2006/main">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550075999">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175266298">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784807898">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8.emf"/><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1291</Words>
  <Characters>7359</Characters>
  <Application>Microsoft Office Word</Application>
  <DocSecurity>0</DocSecurity>
  <Lines>61</Lines>
  <Paragraphs>17</Paragraphs>
  <ScaleCrop>false</ScaleCrop>
  <Company>神州网信技术有限公司</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16</cp:revision>
  <dcterms:created xsi:type="dcterms:W3CDTF">2022-09-22T15:26:00Z</dcterms:created>
  <dcterms:modified xsi:type="dcterms:W3CDTF">2023-08-01T02:08:00Z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