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8B022">
      <w:pPr>
        <w:spacing w:line="640" w:lineRule="exact"/>
        <w:ind w:firstLine="0" w:firstLineChars="0"/>
        <w:jc w:val="center"/>
        <w:rPr>
          <w:rFonts w:hint="eastAsia" w:ascii="宋体" w:hAnsi="宋体" w:eastAsia="宋体" w:cs="Times New Roman"/>
          <w:szCs w:val="36"/>
        </w:rPr>
      </w:pPr>
    </w:p>
    <w:p w14:paraId="629E18A9">
      <w:pPr>
        <w:spacing w:line="640" w:lineRule="exact"/>
        <w:ind w:firstLine="0" w:firstLineChars="0"/>
        <w:jc w:val="center"/>
        <w:rPr>
          <w:rFonts w:hint="eastAsia" w:ascii="宋体" w:hAnsi="宋体" w:eastAsia="宋体" w:cs="Times New Roman"/>
          <w:b/>
          <w:sz w:val="36"/>
          <w:szCs w:val="36"/>
        </w:rPr>
      </w:pPr>
    </w:p>
    <w:p w14:paraId="73A914ED">
      <w:pPr>
        <w:spacing w:line="640" w:lineRule="exact"/>
        <w:ind w:firstLine="0" w:firstLineChars="0"/>
        <w:jc w:val="center"/>
        <w:rPr>
          <w:rFonts w:hint="eastAsia" w:ascii="宋体" w:hAnsi="宋体" w:eastAsia="宋体" w:cs="Times New Roman"/>
          <w:b/>
          <w:sz w:val="36"/>
          <w:szCs w:val="36"/>
        </w:rPr>
      </w:pPr>
    </w:p>
    <w:p w14:paraId="5EE1C46E">
      <w:pPr>
        <w:ind w:firstLine="0" w:firstLineChars="0"/>
        <w:jc w:val="center"/>
        <w:rPr>
          <w:rFonts w:hint="eastAsia" w:ascii="方正小标宋简体" w:hAnsi="方正小标宋简体" w:eastAsia="方正小标宋简体" w:cs="方正小标宋简体"/>
          <w:bCs/>
          <w:w w:val="90"/>
          <w:sz w:val="52"/>
          <w:szCs w:val="52"/>
        </w:rPr>
      </w:pPr>
      <w:bookmarkStart w:id="1" w:name="_GoBack"/>
      <w:r>
        <w:rPr>
          <w:rFonts w:hint="eastAsia" w:ascii="方正小标宋简体" w:hAnsi="方正小标宋简体" w:eastAsia="方正小标宋简体" w:cs="方正小标宋简体"/>
          <w:bCs/>
          <w:w w:val="90"/>
          <w:sz w:val="52"/>
          <w:szCs w:val="52"/>
        </w:rPr>
        <w:t>秦皇岛市医疗卫生服务体系专项规划</w:t>
      </w:r>
    </w:p>
    <w:p w14:paraId="313B97CE">
      <w:pPr>
        <w:ind w:firstLine="0" w:firstLineChars="0"/>
        <w:jc w:val="center"/>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（202</w:t>
      </w:r>
      <w:r>
        <w:rPr>
          <w:rFonts w:hint="eastAsia" w:ascii="方正小标宋简体" w:hAnsi="方正小标宋简体" w:eastAsia="方正小标宋简体" w:cs="方正小标宋简体"/>
          <w:bCs/>
          <w:sz w:val="52"/>
          <w:szCs w:val="52"/>
          <w:lang w:val="en-US" w:eastAsia="zh-CN"/>
        </w:rPr>
        <w:t>5</w:t>
      </w:r>
      <w:r>
        <w:rPr>
          <w:rFonts w:hint="eastAsia" w:ascii="方正小标宋简体" w:hAnsi="方正小标宋简体" w:eastAsia="方正小标宋简体" w:cs="方正小标宋简体"/>
          <w:bCs/>
          <w:sz w:val="52"/>
          <w:szCs w:val="52"/>
        </w:rPr>
        <w:t>-2035年）</w:t>
      </w:r>
    </w:p>
    <w:bookmarkEnd w:id="1"/>
    <w:p w14:paraId="09378D61">
      <w:pPr>
        <w:ind w:firstLine="0" w:firstLineChars="0"/>
        <w:jc w:val="center"/>
        <w:rPr>
          <w:rFonts w:hint="eastAsia" w:ascii="方正小标宋_GBK" w:hAnsi="黑体" w:eastAsia="方正小标宋_GBK" w:cs="Times New Roman"/>
          <w:bCs/>
          <w:sz w:val="52"/>
          <w:szCs w:val="52"/>
        </w:rPr>
      </w:pPr>
    </w:p>
    <w:p w14:paraId="73E7C56A">
      <w:pPr>
        <w:ind w:firstLine="0" w:firstLineChars="0"/>
        <w:jc w:val="center"/>
        <w:rPr>
          <w:rFonts w:hint="eastAsia" w:ascii="方正小标宋_GBK" w:hAnsi="黑体" w:eastAsia="方正小标宋_GBK" w:cs="Times New Roman"/>
          <w:bCs/>
          <w:sz w:val="52"/>
          <w:szCs w:val="52"/>
        </w:rPr>
      </w:pPr>
    </w:p>
    <w:p w14:paraId="7E46F667">
      <w:pPr>
        <w:ind w:firstLine="0" w:firstLineChars="0"/>
        <w:jc w:val="center"/>
        <w:rPr>
          <w:rFonts w:hint="eastAsia" w:ascii="方正小标宋简体" w:hAnsi="方正小标宋简体" w:eastAsia="方正小标宋简体" w:cs="方正小标宋简体"/>
          <w:bCs/>
          <w:w w:val="90"/>
          <w:sz w:val="52"/>
          <w:szCs w:val="52"/>
        </w:rPr>
      </w:pPr>
      <w:r>
        <w:rPr>
          <w:rFonts w:hint="eastAsia" w:ascii="方正小标宋简体" w:hAnsi="方正小标宋简体" w:eastAsia="方正小标宋简体" w:cs="方正小标宋简体"/>
          <w:bCs/>
          <w:w w:val="90"/>
          <w:sz w:val="52"/>
          <w:szCs w:val="52"/>
        </w:rPr>
        <w:t>公示稿</w:t>
      </w:r>
    </w:p>
    <w:p w14:paraId="0367C049">
      <w:pPr>
        <w:ind w:firstLine="0" w:firstLineChars="0"/>
        <w:jc w:val="center"/>
        <w:rPr>
          <w:rFonts w:ascii="方正小标宋_GBK" w:hAnsi="Times New Roman" w:eastAsia="方正小标宋_GBK" w:cs="Times New Roman"/>
          <w:bCs/>
          <w:sz w:val="48"/>
          <w:szCs w:val="48"/>
        </w:rPr>
      </w:pPr>
    </w:p>
    <w:p w14:paraId="5460D886">
      <w:pPr>
        <w:ind w:firstLine="0" w:firstLineChars="0"/>
        <w:jc w:val="center"/>
        <w:rPr>
          <w:rFonts w:ascii="方正小标宋_GBK" w:hAnsi="Times New Roman" w:eastAsia="方正小标宋_GBK" w:cs="Times New Roman"/>
          <w:bCs/>
          <w:sz w:val="48"/>
          <w:szCs w:val="48"/>
        </w:rPr>
      </w:pPr>
    </w:p>
    <w:p w14:paraId="213FD1A7">
      <w:pPr>
        <w:ind w:firstLine="0" w:firstLineChars="0"/>
        <w:jc w:val="center"/>
        <w:rPr>
          <w:rFonts w:ascii="方正小标宋_GBK" w:hAnsi="Times New Roman" w:eastAsia="方正小标宋_GBK" w:cs="Times New Roman"/>
          <w:bCs/>
          <w:sz w:val="48"/>
          <w:szCs w:val="48"/>
        </w:rPr>
      </w:pPr>
    </w:p>
    <w:p w14:paraId="430655CE">
      <w:pPr>
        <w:ind w:firstLine="0" w:firstLineChars="0"/>
        <w:jc w:val="center"/>
        <w:rPr>
          <w:rFonts w:ascii="方正小标宋_GBK" w:hAnsi="Times New Roman" w:eastAsia="方正小标宋_GBK" w:cs="Times New Roman"/>
          <w:bCs/>
          <w:sz w:val="48"/>
          <w:szCs w:val="48"/>
        </w:rPr>
      </w:pPr>
    </w:p>
    <w:p w14:paraId="005CD1D0">
      <w:pPr>
        <w:ind w:firstLine="0" w:firstLineChars="0"/>
        <w:jc w:val="center"/>
        <w:rPr>
          <w:rFonts w:ascii="方正小标宋_GBK" w:hAnsi="Times New Roman" w:eastAsia="方正小标宋_GBK" w:cs="Times New Roman"/>
          <w:bCs/>
          <w:sz w:val="48"/>
          <w:szCs w:val="48"/>
        </w:rPr>
      </w:pPr>
    </w:p>
    <w:p w14:paraId="3DE8B03C">
      <w:pPr>
        <w:ind w:firstLine="0" w:firstLineChars="0"/>
        <w:jc w:val="center"/>
        <w:rPr>
          <w:rFonts w:hint="default" w:ascii="方正小标宋简体" w:hAnsi="方正小标宋简体" w:eastAsia="方正小标宋简体" w:cs="方正小标宋简体"/>
          <w:bCs/>
          <w:w w:val="90"/>
          <w:sz w:val="32"/>
          <w:szCs w:val="32"/>
          <w:lang w:val="en-US" w:eastAsia="zh-CN"/>
        </w:rPr>
      </w:pPr>
      <w:r>
        <w:rPr>
          <w:rFonts w:hint="eastAsia" w:ascii="方正小标宋简体" w:hAnsi="方正小标宋简体" w:eastAsia="方正小标宋简体" w:cs="方正小标宋简体"/>
          <w:bCs/>
          <w:w w:val="90"/>
          <w:sz w:val="32"/>
          <w:szCs w:val="32"/>
          <w:lang w:val="en-US" w:eastAsia="zh-CN"/>
        </w:rPr>
        <w:t>秦皇岛市卫生健康委员会</w:t>
      </w:r>
    </w:p>
    <w:p w14:paraId="30642F45">
      <w:pPr>
        <w:ind w:firstLine="0" w:firstLineChars="0"/>
        <w:jc w:val="center"/>
        <w:rPr>
          <w:rFonts w:hint="eastAsia" w:ascii="方正小标宋简体" w:hAnsi="方正小标宋简体" w:eastAsia="方正小标宋简体" w:cs="方正小标宋简体"/>
          <w:bCs/>
          <w:w w:val="90"/>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bCs/>
          <w:w w:val="90"/>
          <w:sz w:val="32"/>
          <w:szCs w:val="32"/>
        </w:rPr>
        <w:t>202</w:t>
      </w:r>
      <w:r>
        <w:rPr>
          <w:rFonts w:hint="eastAsia" w:ascii="方正小标宋简体" w:hAnsi="方正小标宋简体" w:eastAsia="方正小标宋简体" w:cs="方正小标宋简体"/>
          <w:bCs/>
          <w:w w:val="90"/>
          <w:sz w:val="32"/>
          <w:szCs w:val="32"/>
          <w:lang w:val="en-US" w:eastAsia="zh-CN"/>
        </w:rPr>
        <w:t>5</w:t>
      </w:r>
      <w:r>
        <w:rPr>
          <w:rFonts w:hint="eastAsia" w:ascii="方正小标宋简体" w:hAnsi="方正小标宋简体" w:eastAsia="方正小标宋简体" w:cs="方正小标宋简体"/>
          <w:bCs/>
          <w:w w:val="90"/>
          <w:sz w:val="32"/>
          <w:szCs w:val="32"/>
        </w:rPr>
        <w:t>年</w:t>
      </w:r>
      <w:r>
        <w:rPr>
          <w:rFonts w:hint="eastAsia" w:ascii="方正小标宋简体" w:hAnsi="方正小标宋简体" w:eastAsia="方正小标宋简体" w:cs="方正小标宋简体"/>
          <w:bCs/>
          <w:w w:val="90"/>
          <w:sz w:val="32"/>
          <w:szCs w:val="32"/>
          <w:lang w:val="en-US" w:eastAsia="zh-CN"/>
        </w:rPr>
        <w:t>3</w:t>
      </w:r>
      <w:r>
        <w:rPr>
          <w:rFonts w:hint="eastAsia" w:ascii="方正小标宋简体" w:hAnsi="方正小标宋简体" w:eastAsia="方正小标宋简体" w:cs="方正小标宋简体"/>
          <w:bCs/>
          <w:w w:val="90"/>
          <w:sz w:val="32"/>
          <w:szCs w:val="32"/>
        </w:rPr>
        <w:t>月</w:t>
      </w:r>
    </w:p>
    <w:p w14:paraId="1E760EE0">
      <w:pPr>
        <w:pStyle w:val="3"/>
        <w:bidi w:val="0"/>
        <w:rPr>
          <w:rFonts w:hint="eastAsia"/>
        </w:rPr>
      </w:pPr>
      <w:r>
        <w:rPr>
          <w:rFonts w:hint="eastAsia"/>
        </w:rPr>
        <w:t>规划范围</w:t>
      </w:r>
    </w:p>
    <w:p w14:paraId="3EDD6BF4">
      <w:pPr>
        <w:pageBreakBefore w:val="0"/>
        <w:kinsoku/>
        <w:wordWrap/>
        <w:overflowPunct/>
        <w:topLinePunct w:val="0"/>
        <w:autoSpaceDE/>
        <w:autoSpaceDN/>
        <w:bidi w:val="0"/>
        <w:adjustRightInd/>
        <w:spacing w:line="560" w:lineRule="exact"/>
        <w:ind w:firstLine="600" w:firstLineChars="200"/>
        <w:textAlignment w:val="auto"/>
        <w:rPr>
          <w:rFonts w:hint="eastAsia" w:ascii="宋体" w:hAnsi="宋体"/>
        </w:rPr>
      </w:pPr>
      <w:r>
        <w:rPr>
          <w:rFonts w:hint="eastAsia" w:ascii="宋体" w:hAnsi="宋体"/>
        </w:rPr>
        <w:t>本次规划范围为《秦皇岛市国土空间总体规划（</w:t>
      </w:r>
      <w:r>
        <w:rPr>
          <w:rFonts w:ascii="宋体" w:hAnsi="宋体"/>
        </w:rPr>
        <w:t>2021-2035</w:t>
      </w:r>
      <w:r>
        <w:rPr>
          <w:rFonts w:hint="eastAsia" w:ascii="宋体" w:hAnsi="宋体"/>
        </w:rPr>
        <w:t>）》确定的秦皇岛市市区范围，总面积为</w:t>
      </w:r>
      <w:r>
        <w:rPr>
          <w:rFonts w:ascii="宋体" w:hAnsi="宋体"/>
        </w:rPr>
        <w:t>2507.69</w:t>
      </w:r>
      <w:r>
        <w:rPr>
          <w:rFonts w:hint="eastAsia" w:ascii="宋体" w:hAnsi="宋体"/>
        </w:rPr>
        <w:t>平方公里（含海域）。包括国土空间总体规划划定的</w:t>
      </w:r>
      <w:bookmarkStart w:id="0" w:name="_Hlk192761448"/>
      <w:r>
        <w:rPr>
          <w:rFonts w:hint="eastAsia" w:ascii="宋体" w:hAnsi="宋体"/>
        </w:rPr>
        <w:t>抚宁区、北戴河区、北戴河新区、海港区、山海关区</w:t>
      </w:r>
      <w:bookmarkEnd w:id="0"/>
      <w:r>
        <w:rPr>
          <w:rFonts w:hint="eastAsia" w:ascii="宋体" w:hAnsi="宋体"/>
        </w:rPr>
        <w:t>，以下简称市区。根据五个区的国土空间总体规划（2</w:t>
      </w:r>
      <w:r>
        <w:rPr>
          <w:rFonts w:ascii="宋体" w:hAnsi="宋体"/>
        </w:rPr>
        <w:t>021-2035</w:t>
      </w:r>
      <w:r>
        <w:rPr>
          <w:rFonts w:hint="eastAsia" w:ascii="宋体" w:hAnsi="宋体"/>
        </w:rPr>
        <w:t>年），市区规划期末总居住人口为</w:t>
      </w:r>
      <w:r>
        <w:rPr>
          <w:rFonts w:ascii="宋体" w:hAnsi="宋体"/>
        </w:rPr>
        <w:t>232</w:t>
      </w:r>
      <w:r>
        <w:rPr>
          <w:rFonts w:hint="eastAsia" w:ascii="宋体" w:hAnsi="宋体"/>
        </w:rPr>
        <w:t>万人。</w:t>
      </w:r>
    </w:p>
    <w:p w14:paraId="4CEC8FE0">
      <w:pPr>
        <w:pStyle w:val="3"/>
        <w:bidi w:val="0"/>
        <w:rPr>
          <w:rFonts w:hint="eastAsia"/>
        </w:rPr>
      </w:pPr>
      <w:r>
        <w:rPr>
          <w:rFonts w:hint="eastAsia"/>
        </w:rPr>
        <w:t>规划期限</w:t>
      </w:r>
    </w:p>
    <w:p w14:paraId="19E2BD11">
      <w:pPr>
        <w:pageBreakBefore w:val="0"/>
        <w:kinsoku/>
        <w:wordWrap/>
        <w:overflowPunct/>
        <w:topLinePunct w:val="0"/>
        <w:autoSpaceDE/>
        <w:autoSpaceDN/>
        <w:bidi w:val="0"/>
        <w:adjustRightInd/>
        <w:spacing w:line="560" w:lineRule="exact"/>
        <w:ind w:firstLine="600" w:firstLineChars="200"/>
        <w:textAlignment w:val="auto"/>
        <w:rPr>
          <w:rFonts w:ascii="宋体" w:hAnsi="宋体"/>
        </w:rPr>
      </w:pPr>
      <w:r>
        <w:rPr>
          <w:rFonts w:hint="eastAsia" w:ascii="宋体" w:hAnsi="宋体"/>
        </w:rPr>
        <w:t>本次规划期限为2025－2035年，其中，规划近期为2025-2030年，远期为2030－2035年。</w:t>
      </w:r>
    </w:p>
    <w:p w14:paraId="6283D1BB">
      <w:pPr>
        <w:pStyle w:val="3"/>
        <w:bidi w:val="0"/>
        <w:rPr>
          <w:rFonts w:hint="eastAsia"/>
        </w:rPr>
      </w:pPr>
      <w:r>
        <w:rPr>
          <w:rFonts w:hint="eastAsia"/>
        </w:rPr>
        <w:t>规划对象</w:t>
      </w:r>
    </w:p>
    <w:p w14:paraId="0B383A54">
      <w:pPr>
        <w:pageBreakBefore w:val="0"/>
        <w:kinsoku/>
        <w:wordWrap/>
        <w:overflowPunct/>
        <w:topLinePunct w:val="0"/>
        <w:autoSpaceDE/>
        <w:autoSpaceDN/>
        <w:bidi w:val="0"/>
        <w:adjustRightInd/>
        <w:spacing w:line="560" w:lineRule="exact"/>
        <w:ind w:firstLine="600"/>
        <w:textAlignment w:val="auto"/>
        <w:rPr>
          <w:rFonts w:hint="eastAsia"/>
          <w:lang w:val="zh-CN"/>
        </w:rPr>
      </w:pPr>
      <w:r>
        <w:rPr>
          <w:rFonts w:hint="eastAsia"/>
          <w:lang w:val="zh-CN"/>
        </w:rPr>
        <w:t>本次规划对象为</w:t>
      </w:r>
      <w:r>
        <w:rPr>
          <w:rFonts w:hint="eastAsia"/>
          <w:lang w:val="en-US" w:eastAsia="zh-CN"/>
        </w:rPr>
        <w:t>秦皇岛市</w:t>
      </w:r>
      <w:r>
        <w:rPr>
          <w:rFonts w:hint="eastAsia"/>
          <w:lang w:val="zh-CN"/>
        </w:rPr>
        <w:t>全域范围的医疗卫生设施，包括综合医院、中医医院、各类专科医院、护理院等；基层医疗卫生设施包括社区卫生服务中心、乡镇（街道）卫生院等；还包括疾病预防控制中心、妇幼保健院、急救中心等公共卫生设施。</w:t>
      </w:r>
    </w:p>
    <w:p w14:paraId="2A0537A6">
      <w:pPr>
        <w:pStyle w:val="3"/>
        <w:bidi w:val="0"/>
        <w:rPr>
          <w:rFonts w:hint="eastAsia"/>
        </w:rPr>
      </w:pPr>
      <w:r>
        <w:rPr>
          <w:rFonts w:hint="eastAsia"/>
        </w:rPr>
        <w:t>规划目标</w:t>
      </w:r>
    </w:p>
    <w:p w14:paraId="6D49ADB1">
      <w:pPr>
        <w:pageBreakBefore w:val="0"/>
        <w:kinsoku/>
        <w:wordWrap/>
        <w:overflowPunct/>
        <w:topLinePunct w:val="0"/>
        <w:autoSpaceDE/>
        <w:autoSpaceDN/>
        <w:bidi w:val="0"/>
        <w:adjustRightInd/>
        <w:spacing w:line="560" w:lineRule="exact"/>
        <w:ind w:firstLine="600" w:firstLineChars="200"/>
        <w:textAlignment w:val="auto"/>
        <w:rPr>
          <w:rFonts w:hint="eastAsia" w:ascii="宋体" w:hAnsi="宋体"/>
        </w:rPr>
      </w:pPr>
      <w:r>
        <w:rPr>
          <w:rFonts w:ascii="宋体" w:hAnsi="宋体"/>
        </w:rPr>
        <w:t>以居民的实际医疗卫生服务需求为依据，以合理配置利用医疗卫生资源、公平地向全体居民提供高质量的基本医疗服务为落脚点，通过实施属地化和全行业管理，将各种所有制、投资主体、隶属关系和经营性质的医疗机构统一规划、设置和布局，实行统一准入、统一监管</w:t>
      </w:r>
      <w:r>
        <w:rPr>
          <w:rFonts w:hint="eastAsia" w:ascii="宋体" w:hAnsi="宋体"/>
        </w:rPr>
        <w:t>，</w:t>
      </w:r>
      <w:r>
        <w:rPr>
          <w:rFonts w:ascii="宋体" w:hAnsi="宋体"/>
        </w:rPr>
        <w:t>建立</w:t>
      </w:r>
      <w:r>
        <w:rPr>
          <w:rFonts w:hint="eastAsia" w:ascii="宋体" w:hAnsi="宋体"/>
        </w:rPr>
        <w:t>和完善</w:t>
      </w:r>
      <w:r>
        <w:rPr>
          <w:rFonts w:ascii="宋体" w:hAnsi="宋体"/>
        </w:rPr>
        <w:t>覆盖城乡的层级清晰、布局合理、结构优化、功能齐全、方便可及、分工协作的医疗卫生服务体系。</w:t>
      </w:r>
    </w:p>
    <w:p w14:paraId="1020F5FE">
      <w:pPr>
        <w:pStyle w:val="3"/>
        <w:pageBreakBefore w:val="0"/>
        <w:numPr>
          <w:ilvl w:val="0"/>
          <w:numId w:val="2"/>
        </w:numPr>
        <w:kinsoku/>
        <w:wordWrap/>
        <w:overflowPunct/>
        <w:topLinePunct w:val="0"/>
        <w:autoSpaceDE/>
        <w:autoSpaceDN/>
        <w:bidi w:val="0"/>
        <w:adjustRightInd/>
        <w:spacing w:line="560" w:lineRule="exact"/>
        <w:ind w:left="1155" w:leftChars="0" w:hanging="735" w:firstLineChars="0"/>
        <w:textAlignment w:val="auto"/>
        <w:rPr>
          <w:rFonts w:hint="eastAsia"/>
        </w:rPr>
      </w:pPr>
      <w:r>
        <w:rPr>
          <w:rFonts w:hint="eastAsia"/>
        </w:rPr>
        <w:t>规划策略</w:t>
      </w:r>
    </w:p>
    <w:p w14:paraId="366D3D33">
      <w:pPr>
        <w:pageBreakBefore w:val="0"/>
        <w:kinsoku/>
        <w:wordWrap/>
        <w:overflowPunct/>
        <w:topLinePunct w:val="0"/>
        <w:autoSpaceDE/>
        <w:autoSpaceDN/>
        <w:bidi w:val="0"/>
        <w:adjustRightInd/>
        <w:spacing w:line="560" w:lineRule="exact"/>
        <w:ind w:firstLine="602" w:firstLineChars="200"/>
        <w:textAlignment w:val="auto"/>
        <w:rPr>
          <w:rFonts w:hint="eastAsia" w:ascii="宋体" w:hAnsi="宋体"/>
        </w:rPr>
      </w:pPr>
      <w:r>
        <w:rPr>
          <w:rFonts w:hint="eastAsia" w:ascii="宋体" w:hAnsi="宋体"/>
          <w:b/>
        </w:rPr>
        <w:t>（一）政府主导、引领民资战略。</w:t>
      </w:r>
      <w:r>
        <w:rPr>
          <w:rFonts w:hint="eastAsia" w:ascii="宋体" w:hAnsi="宋体"/>
        </w:rPr>
        <w:t>发展秦皇岛市区医疗卫生体系，要按照《中共中央关于全面深化改革若干重大问题的决定》的精神，“深化医药卫生体制改革、健全网络化城乡基层医疗卫生服务运行机制、加强区域公共卫生服务资源整合”。一方面根据区域社会经济发展水平逐步加大政府对公共医疗服务系统的投入；另一方面，要“鼓励社会办医，优先支持举办非营利性医疗机构。社会资金可直接投向资源稀缺及满足多元需求服务领域，多种形式参与公立医院改制重组”。形成开放自由、管理有效的医疗卫生体系。</w:t>
      </w:r>
    </w:p>
    <w:p w14:paraId="3E7ABBE1">
      <w:pPr>
        <w:pageBreakBefore w:val="0"/>
        <w:kinsoku/>
        <w:wordWrap/>
        <w:overflowPunct/>
        <w:topLinePunct w:val="0"/>
        <w:autoSpaceDE/>
        <w:autoSpaceDN/>
        <w:bidi w:val="0"/>
        <w:adjustRightInd/>
        <w:spacing w:line="560" w:lineRule="exact"/>
        <w:ind w:firstLine="602" w:firstLineChars="200"/>
        <w:textAlignment w:val="auto"/>
        <w:rPr>
          <w:rFonts w:hint="eastAsia" w:ascii="宋体" w:hAnsi="宋体"/>
        </w:rPr>
      </w:pPr>
      <w:r>
        <w:rPr>
          <w:rFonts w:hint="eastAsia" w:ascii="宋体" w:hAnsi="宋体"/>
          <w:b/>
        </w:rPr>
        <w:t>（二）规划控制、空间拓展战略。</w:t>
      </w:r>
      <w:r>
        <w:rPr>
          <w:rFonts w:hint="eastAsia" w:ascii="宋体" w:hAnsi="宋体"/>
        </w:rPr>
        <w:t>按照秦皇岛市国土空间总体规划的基本框架，根据医疗需求的时间变化，有序地安排市区医疗卫生设施的用地规模和空间拓展方向，使各类医疗卫生设施既能满足不同时期的社会医疗需求，又能优化各类医疗卫生设施的有效利用水平。</w:t>
      </w:r>
    </w:p>
    <w:p w14:paraId="6C43189A">
      <w:pPr>
        <w:pageBreakBefore w:val="0"/>
        <w:kinsoku/>
        <w:wordWrap/>
        <w:overflowPunct/>
        <w:topLinePunct w:val="0"/>
        <w:autoSpaceDE/>
        <w:autoSpaceDN/>
        <w:bidi w:val="0"/>
        <w:adjustRightInd/>
        <w:spacing w:line="560" w:lineRule="exact"/>
        <w:ind w:firstLine="602" w:firstLineChars="200"/>
        <w:textAlignment w:val="auto"/>
        <w:rPr>
          <w:rFonts w:hint="eastAsia" w:ascii="宋体" w:hAnsi="宋体"/>
        </w:rPr>
      </w:pPr>
      <w:r>
        <w:rPr>
          <w:rFonts w:hint="eastAsia" w:ascii="宋体" w:hAnsi="宋体"/>
          <w:b/>
        </w:rPr>
        <w:t>（三）专业提升、网络完善战略。</w:t>
      </w:r>
      <w:r>
        <w:rPr>
          <w:rFonts w:hint="eastAsia" w:ascii="宋体" w:hAnsi="宋体"/>
        </w:rPr>
        <w:t>对现有医疗卫生机构进行专业提升，重点实现主要医院的定级升等工程；积极引进新型医疗服务机构，提高医疗专业服务水平；加强各类专科医院建设，完善医疗服务网络；实施基层医疗单位达标工程，进一步优化基层医疗卫生服务水平。</w:t>
      </w:r>
    </w:p>
    <w:p w14:paraId="1EFFDE32">
      <w:pPr>
        <w:pStyle w:val="3"/>
        <w:bidi w:val="0"/>
        <w:rPr>
          <w:rFonts w:hint="eastAsia"/>
        </w:rPr>
      </w:pPr>
      <w:r>
        <w:rPr>
          <w:rFonts w:hint="eastAsia"/>
        </w:rPr>
        <w:t>医疗卫生设施空间布局</w:t>
      </w:r>
    </w:p>
    <w:p w14:paraId="02E3EF59">
      <w:pPr>
        <w:pageBreakBefore w:val="0"/>
        <w:kinsoku/>
        <w:wordWrap/>
        <w:overflowPunct/>
        <w:topLinePunct w:val="0"/>
        <w:autoSpaceDE/>
        <w:autoSpaceDN/>
        <w:bidi w:val="0"/>
        <w:adjustRightInd/>
        <w:spacing w:line="560" w:lineRule="exact"/>
        <w:ind w:firstLine="600" w:firstLineChars="200"/>
        <w:textAlignment w:val="auto"/>
        <w:rPr>
          <w:rFonts w:ascii="宋体" w:hAnsi="宋体"/>
        </w:rPr>
      </w:pPr>
      <w:r>
        <w:rPr>
          <w:rFonts w:hint="eastAsia" w:ascii="宋体" w:hAnsi="宋体"/>
        </w:rPr>
        <w:t>根据地域环境、人口分布、经济状况、卫生与疾病情况等条件，将市区划分为东部医疗区域、中部医疗区域和医疗服务创新区。其中，东部医疗区域由海港区（不含西港镇、海阳镇和白塔岭街道所辖区域）、山海关区全域、开发区东区组成；中部医疗区域由海港区西港镇、海阳镇、白塔岭街道所辖区域和北戴河区全域、抚宁区全域、开发区西区组成；医疗服务创新区为北戴河生命健康产业创新示范区核心区。</w:t>
      </w:r>
    </w:p>
    <w:p w14:paraId="0D47BDC6">
      <w:pPr>
        <w:pageBreakBefore w:val="0"/>
        <w:kinsoku/>
        <w:wordWrap/>
        <w:overflowPunct/>
        <w:topLinePunct w:val="0"/>
        <w:autoSpaceDE/>
        <w:autoSpaceDN/>
        <w:bidi w:val="0"/>
        <w:adjustRightInd/>
        <w:spacing w:line="560" w:lineRule="exact"/>
        <w:ind w:firstLine="600" w:firstLineChars="200"/>
        <w:textAlignment w:val="auto"/>
        <w:rPr>
          <w:rFonts w:ascii="宋体" w:hAnsi="宋体"/>
        </w:rPr>
      </w:pPr>
      <w:r>
        <w:rPr>
          <w:rFonts w:hint="eastAsia" w:ascii="宋体" w:hAnsi="宋体"/>
        </w:rPr>
        <w:t>中、东部医疗区域在充分发挥现有医疗资源优势的基础上，重点提升专科医院诊疗服务能力，强化综合医院特色学科、专科建设。优化非公立综合性医院配置，避免同质化竞争。支持北戴河区利用现有医疗资源与休疗、旅游、康养等机构合作，在医养、康养、健康旅游等方面形成规模化、产业化发展新路径。</w:t>
      </w:r>
    </w:p>
    <w:p w14:paraId="0597C9A1">
      <w:pPr>
        <w:pageBreakBefore w:val="0"/>
        <w:kinsoku/>
        <w:wordWrap/>
        <w:overflowPunct/>
        <w:topLinePunct w:val="0"/>
        <w:autoSpaceDE/>
        <w:autoSpaceDN/>
        <w:bidi w:val="0"/>
        <w:adjustRightInd/>
        <w:spacing w:line="560" w:lineRule="exact"/>
        <w:ind w:firstLine="600" w:firstLineChars="200"/>
        <w:textAlignment w:val="auto"/>
        <w:rPr>
          <w:rFonts w:hint="eastAsia" w:ascii="宋体" w:hAnsi="宋体"/>
        </w:rPr>
      </w:pPr>
      <w:r>
        <w:rPr>
          <w:rFonts w:hint="eastAsia" w:ascii="宋体" w:hAnsi="宋体"/>
        </w:rPr>
        <w:t>各医疗区域内医疗机构设置、床位规模、学科专科设置依照医疗卫生机构发展状况、卫生服务需求和机构设置条件统筹安排，国家医学中心、国家区域医疗中心设置不受本规划限制。医疗服务创新区内三级医疗机构设置不受规划限制。</w:t>
      </w:r>
    </w:p>
    <w:p w14:paraId="5C6150EA">
      <w:pPr>
        <w:pageBreakBefore w:val="0"/>
        <w:widowControl/>
        <w:kinsoku/>
        <w:wordWrap/>
        <w:overflowPunct/>
        <w:topLinePunct w:val="0"/>
        <w:autoSpaceDE/>
        <w:autoSpaceDN/>
        <w:bidi w:val="0"/>
        <w:adjustRightInd/>
        <w:spacing w:line="560" w:lineRule="exact"/>
        <w:ind w:firstLine="0" w:firstLineChars="0"/>
        <w:jc w:val="left"/>
        <w:textAlignment w:val="auto"/>
        <w:rPr>
          <w:rFonts w:hint="eastAsia" w:ascii="黑体" w:hAnsi="黑体" w:eastAsia="楷体" w:cs="Times New Roman"/>
          <w:b/>
          <w:bCs/>
          <w:kern w:val="0"/>
          <w:sz w:val="32"/>
          <w:szCs w:val="20"/>
          <w:lang w:val="zh-CN"/>
        </w:rPr>
      </w:pPr>
      <w:r>
        <w:rPr>
          <w:rFonts w:hint="eastAsia"/>
        </w:rPr>
        <w:br w:type="page"/>
      </w:r>
    </w:p>
    <w:p w14:paraId="48B6E068">
      <w:pPr>
        <w:pStyle w:val="3"/>
        <w:numPr>
          <w:ilvl w:val="0"/>
          <w:numId w:val="0"/>
        </w:numPr>
        <w:ind w:left="420"/>
        <w:rPr>
          <w:rFonts w:hint="eastAsia"/>
        </w:rPr>
      </w:pPr>
      <w:r>
        <w:rPr>
          <w:rFonts w:hint="eastAsia"/>
        </w:rPr>
        <w:t>附图</w:t>
      </w:r>
    </w:p>
    <w:p w14:paraId="5A6B5242">
      <w:pPr>
        <w:ind w:left="0" w:leftChars="0" w:firstLine="0" w:firstLineChars="0"/>
        <w:jc w:val="left"/>
        <w:rPr>
          <w:rFonts w:hint="eastAsia" w:eastAsia="仿宋_GB2312"/>
          <w:lang w:val="zh-CN" w:eastAsia="zh-CN"/>
        </w:rPr>
      </w:pPr>
      <w:r>
        <w:rPr>
          <w:rFonts w:hint="eastAsia" w:eastAsia="仿宋_GB2312"/>
          <w:lang w:val="zh-CN" w:eastAsia="zh-CN"/>
        </w:rPr>
        <w:drawing>
          <wp:inline distT="0" distB="0" distL="114300" distR="114300">
            <wp:extent cx="5268595" cy="3721100"/>
            <wp:effectExtent l="0" t="0" r="8255" b="12700"/>
            <wp:docPr id="1" name="图片 1" descr="20250317 秦皇岛规划医院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0317 秦皇岛规划医院分布图"/>
                    <pic:cNvPicPr>
                      <a:picLocks noChangeAspect="1"/>
                    </pic:cNvPicPr>
                  </pic:nvPicPr>
                  <pic:blipFill>
                    <a:blip r:embed="rId12"/>
                    <a:stretch>
                      <a:fillRect/>
                    </a:stretch>
                  </pic:blipFill>
                  <pic:spPr>
                    <a:xfrm>
                      <a:off x="0" y="0"/>
                      <a:ext cx="5268595" cy="3721100"/>
                    </a:xfrm>
                    <a:prstGeom prst="rect">
                      <a:avLst/>
                    </a:prstGeom>
                  </pic:spPr>
                </pic:pic>
              </a:graphicData>
            </a:graphic>
          </wp:inline>
        </w:drawing>
      </w:r>
    </w:p>
    <w:p w14:paraId="428FF90E">
      <w:pPr>
        <w:pStyle w:val="4"/>
        <w:ind w:firstLine="0" w:firstLineChars="0"/>
        <w:jc w:val="center"/>
        <w:rPr>
          <w:rFonts w:hint="eastAsia" w:ascii="方正仿宋_GB2312" w:hAnsi="方正仿宋_GB2312" w:eastAsia="方正仿宋_GB2312" w:cs="方正仿宋_GB2312"/>
          <w:lang w:val="en-US" w:eastAsia="zh-CN"/>
        </w:rPr>
      </w:pPr>
      <w:r>
        <w:rPr>
          <w:rFonts w:hint="eastAsia" w:ascii="宋体" w:hAnsi="宋体" w:eastAsia="仿宋_GB2312" w:cstheme="minorBidi"/>
          <w:kern w:val="2"/>
          <w:sz w:val="18"/>
          <w:szCs w:val="18"/>
          <w:lang w:val="en-US" w:eastAsia="zh-CN" w:bidi="ar-SA"/>
        </w:rPr>
        <w:t>秦皇岛市医院规划分布图</w:t>
      </w:r>
    </w:p>
    <w:p w14:paraId="5B5167C8">
      <w:pPr>
        <w:pStyle w:val="4"/>
        <w:ind w:firstLine="0" w:firstLineChars="0"/>
        <w:jc w:val="center"/>
        <w:rPr>
          <w:rFonts w:hint="eastAsia"/>
          <w:lang w:val="zh-CN"/>
        </w:rPr>
      </w:pPr>
      <w:r>
        <w:rPr>
          <w:rFonts w:hint="eastAsia"/>
          <w:lang w:val="zh-CN"/>
        </w:rPr>
        <w:drawing>
          <wp:inline distT="0" distB="0" distL="114300" distR="114300">
            <wp:extent cx="5268595" cy="3721100"/>
            <wp:effectExtent l="0" t="0" r="8255" b="12700"/>
            <wp:docPr id="11" name="图片 11" descr="08-基本医疗规划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8-基本医疗规划分布图"/>
                    <pic:cNvPicPr>
                      <a:picLocks noChangeAspect="1"/>
                    </pic:cNvPicPr>
                  </pic:nvPicPr>
                  <pic:blipFill>
                    <a:blip r:embed="rId13"/>
                    <a:stretch>
                      <a:fillRect/>
                    </a:stretch>
                  </pic:blipFill>
                  <pic:spPr>
                    <a:xfrm>
                      <a:off x="0" y="0"/>
                      <a:ext cx="5268595" cy="3721100"/>
                    </a:xfrm>
                    <a:prstGeom prst="rect">
                      <a:avLst/>
                    </a:prstGeom>
                  </pic:spPr>
                </pic:pic>
              </a:graphicData>
            </a:graphic>
          </wp:inline>
        </w:drawing>
      </w:r>
    </w:p>
    <w:p w14:paraId="2E22E947">
      <w:pPr>
        <w:ind w:firstLine="3060" w:firstLineChars="1700"/>
        <w:rPr>
          <w:rFonts w:hint="eastAsia"/>
          <w:lang w:val="zh-CN"/>
        </w:rPr>
      </w:pPr>
      <w:r>
        <w:rPr>
          <w:rFonts w:hint="eastAsia" w:ascii="宋体" w:hAnsi="宋体" w:eastAsia="仿宋_GB2312" w:cstheme="minorBidi"/>
          <w:kern w:val="2"/>
          <w:sz w:val="18"/>
          <w:szCs w:val="18"/>
          <w:lang w:val="en-US" w:eastAsia="zh-CN" w:bidi="ar-SA"/>
        </w:rPr>
        <w:t>秦皇岛市</w:t>
      </w:r>
      <w:r>
        <w:rPr>
          <w:rFonts w:hint="eastAsia" w:ascii="宋体" w:hAnsi="宋体" w:cstheme="minorBidi"/>
          <w:kern w:val="2"/>
          <w:sz w:val="18"/>
          <w:szCs w:val="18"/>
          <w:lang w:val="en-US" w:eastAsia="zh-CN" w:bidi="ar-SA"/>
        </w:rPr>
        <w:t>基本医疗</w:t>
      </w:r>
      <w:r>
        <w:rPr>
          <w:rFonts w:hint="eastAsia" w:ascii="宋体" w:hAnsi="宋体" w:eastAsia="仿宋_GB2312" w:cstheme="minorBidi"/>
          <w:kern w:val="2"/>
          <w:sz w:val="18"/>
          <w:szCs w:val="18"/>
          <w:lang w:val="en-US" w:eastAsia="zh-CN" w:bidi="ar-SA"/>
        </w:rPr>
        <w:t>规划分布图</w:t>
      </w:r>
    </w:p>
    <w:p w14:paraId="10BDCB0A">
      <w:pPr>
        <w:pStyle w:val="4"/>
        <w:ind w:firstLine="0" w:firstLineChars="0"/>
        <w:jc w:val="center"/>
        <w:rPr>
          <w:rFonts w:hint="eastAsia"/>
          <w:lang w:val="zh-CN"/>
        </w:rPr>
      </w:pPr>
      <w:r>
        <w:rPr>
          <w:rFonts w:hint="eastAsia"/>
          <w:lang w:val="zh-CN"/>
        </w:rPr>
        <w:drawing>
          <wp:inline distT="0" distB="0" distL="114300" distR="114300">
            <wp:extent cx="5268595" cy="3721100"/>
            <wp:effectExtent l="0" t="0" r="8255" b="12700"/>
            <wp:docPr id="12" name="图片 12" descr="09专业公共卫生机构分布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9专业公共卫生机构分布规划图"/>
                    <pic:cNvPicPr>
                      <a:picLocks noChangeAspect="1"/>
                    </pic:cNvPicPr>
                  </pic:nvPicPr>
                  <pic:blipFill>
                    <a:blip r:embed="rId14"/>
                    <a:stretch>
                      <a:fillRect/>
                    </a:stretch>
                  </pic:blipFill>
                  <pic:spPr>
                    <a:xfrm>
                      <a:off x="0" y="0"/>
                      <a:ext cx="5268595" cy="3721100"/>
                    </a:xfrm>
                    <a:prstGeom prst="rect">
                      <a:avLst/>
                    </a:prstGeom>
                  </pic:spPr>
                </pic:pic>
              </a:graphicData>
            </a:graphic>
          </wp:inline>
        </w:drawing>
      </w:r>
    </w:p>
    <w:p w14:paraId="0E470097">
      <w:pPr>
        <w:ind w:firstLine="3060" w:firstLineChars="1700"/>
        <w:rPr>
          <w:rFonts w:hint="eastAsia"/>
          <w:lang w:val="zh-CN"/>
        </w:rPr>
      </w:pPr>
      <w:r>
        <w:rPr>
          <w:rFonts w:hint="eastAsia" w:ascii="宋体" w:hAnsi="宋体" w:eastAsia="仿宋_GB2312" w:cstheme="minorBidi"/>
          <w:kern w:val="2"/>
          <w:sz w:val="18"/>
          <w:szCs w:val="18"/>
          <w:lang w:val="en-US" w:eastAsia="zh-CN" w:bidi="ar-SA"/>
        </w:rPr>
        <w:t>秦皇岛市医院规划分布图</w:t>
      </w:r>
    </w:p>
    <w:p w14:paraId="6C544EF4">
      <w:pPr>
        <w:pStyle w:val="4"/>
        <w:ind w:firstLine="0" w:firstLineChars="0"/>
        <w:jc w:val="center"/>
        <w:rPr>
          <w:rFonts w:hint="eastAsia"/>
          <w:lang w:val="zh-CN"/>
        </w:rPr>
      </w:pPr>
      <w:r>
        <w:rPr>
          <w:rFonts w:hint="eastAsia" w:ascii="宋体" w:hAnsi="宋体" w:eastAsia="仿宋_GB2312" w:cstheme="minorBidi"/>
          <w:kern w:val="2"/>
          <w:sz w:val="18"/>
          <w:szCs w:val="18"/>
          <w:lang w:val="en-US" w:eastAsia="zh-CN" w:bidi="ar-SA"/>
        </w:rPr>
        <w:drawing>
          <wp:inline distT="0" distB="0" distL="114300" distR="114300">
            <wp:extent cx="5268595" cy="3721100"/>
            <wp:effectExtent l="0" t="0" r="8255" b="12700"/>
            <wp:docPr id="13" name="图片 13" descr="10其他医疗卫生机构规划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其他医疗卫生机构规划分布图"/>
                    <pic:cNvPicPr>
                      <a:picLocks noChangeAspect="1"/>
                    </pic:cNvPicPr>
                  </pic:nvPicPr>
                  <pic:blipFill>
                    <a:blip r:embed="rId15"/>
                    <a:stretch>
                      <a:fillRect/>
                    </a:stretch>
                  </pic:blipFill>
                  <pic:spPr>
                    <a:xfrm>
                      <a:off x="0" y="0"/>
                      <a:ext cx="5268595" cy="3721100"/>
                    </a:xfrm>
                    <a:prstGeom prst="rect">
                      <a:avLst/>
                    </a:prstGeom>
                  </pic:spPr>
                </pic:pic>
              </a:graphicData>
            </a:graphic>
          </wp:inline>
        </w:drawing>
      </w:r>
      <w:r>
        <w:rPr>
          <w:rFonts w:hint="eastAsia" w:ascii="宋体" w:hAnsi="宋体" w:eastAsia="仿宋_GB2312" w:cstheme="minorBidi"/>
          <w:kern w:val="2"/>
          <w:sz w:val="18"/>
          <w:szCs w:val="18"/>
          <w:lang w:val="en-US" w:eastAsia="zh-CN" w:bidi="ar-SA"/>
        </w:rPr>
        <w:t>秦皇岛市其他医疗卫生机构规划分布图</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方正仿宋_GB2312">
    <w:panose1 w:val="02000000000000000000"/>
    <w:charset w:val="86"/>
    <w:family w:val="auto"/>
    <w:pitch w:val="default"/>
    <w:sig w:usb0="A00002BF" w:usb1="184F6CFA"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FE0F0">
    <w:pPr>
      <w:pStyle w:val="6"/>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2604A">
    <w:pPr>
      <w:pStyle w:val="6"/>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C225D">
    <w:pPr>
      <w:pStyle w:val="6"/>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00"/>
      </w:pPr>
      <w:r>
        <w:separator/>
      </w:r>
    </w:p>
  </w:footnote>
  <w:footnote w:type="continuationSeparator" w:id="1">
    <w:p>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9BFAF">
    <w:pPr>
      <w:ind w:firstLine="0" w:firstLineChars="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BB78">
    <w:pPr>
      <w:pStyle w:val="7"/>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320F">
    <w:pPr>
      <w:pStyle w:val="7"/>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0A86CA"/>
    <w:multiLevelType w:val="multilevel"/>
    <w:tmpl w:val="AA0A86CA"/>
    <w:lvl w:ilvl="0" w:tentative="0">
      <w:start w:val="1"/>
      <w:numFmt w:val="decimal"/>
      <w:pStyle w:val="3"/>
      <w:suff w:val="nothing"/>
      <w:lvlText w:val="%1."/>
      <w:lvlJc w:val="left"/>
      <w:pPr>
        <w:ind w:left="1155" w:hanging="735"/>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
    <w:nsid w:val="24FC7B71"/>
    <w:multiLevelType w:val="singleLevel"/>
    <w:tmpl w:val="24FC7B71"/>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06D"/>
    <w:rsid w:val="0000304C"/>
    <w:rsid w:val="00006250"/>
    <w:rsid w:val="0001063D"/>
    <w:rsid w:val="00025394"/>
    <w:rsid w:val="00026B44"/>
    <w:rsid w:val="00034F80"/>
    <w:rsid w:val="0004250B"/>
    <w:rsid w:val="00061664"/>
    <w:rsid w:val="000742DB"/>
    <w:rsid w:val="000B5252"/>
    <w:rsid w:val="000C0B50"/>
    <w:rsid w:val="000C1A64"/>
    <w:rsid w:val="000C415A"/>
    <w:rsid w:val="000D51C9"/>
    <w:rsid w:val="000E5E80"/>
    <w:rsid w:val="001003C8"/>
    <w:rsid w:val="00105724"/>
    <w:rsid w:val="00120928"/>
    <w:rsid w:val="00171213"/>
    <w:rsid w:val="001800AA"/>
    <w:rsid w:val="00182A6D"/>
    <w:rsid w:val="001A1840"/>
    <w:rsid w:val="001A2FC8"/>
    <w:rsid w:val="001D2F36"/>
    <w:rsid w:val="001D4809"/>
    <w:rsid w:val="001E03C8"/>
    <w:rsid w:val="00224763"/>
    <w:rsid w:val="002744B8"/>
    <w:rsid w:val="002825DA"/>
    <w:rsid w:val="00283B4A"/>
    <w:rsid w:val="002A3A96"/>
    <w:rsid w:val="002C11FD"/>
    <w:rsid w:val="002E3075"/>
    <w:rsid w:val="002E32CA"/>
    <w:rsid w:val="00312C8B"/>
    <w:rsid w:val="0031466D"/>
    <w:rsid w:val="00333E11"/>
    <w:rsid w:val="00334948"/>
    <w:rsid w:val="00335D6C"/>
    <w:rsid w:val="003632F2"/>
    <w:rsid w:val="00367DE2"/>
    <w:rsid w:val="003700AD"/>
    <w:rsid w:val="00375FA4"/>
    <w:rsid w:val="00377A41"/>
    <w:rsid w:val="003815D8"/>
    <w:rsid w:val="003922FD"/>
    <w:rsid w:val="003968DC"/>
    <w:rsid w:val="003E07D6"/>
    <w:rsid w:val="00425096"/>
    <w:rsid w:val="00442AC3"/>
    <w:rsid w:val="004517E9"/>
    <w:rsid w:val="00474DF8"/>
    <w:rsid w:val="00497206"/>
    <w:rsid w:val="004B08CE"/>
    <w:rsid w:val="004F7C61"/>
    <w:rsid w:val="00546C8E"/>
    <w:rsid w:val="00584CD9"/>
    <w:rsid w:val="00592149"/>
    <w:rsid w:val="005C00A1"/>
    <w:rsid w:val="005D23F0"/>
    <w:rsid w:val="006154CA"/>
    <w:rsid w:val="00640DBB"/>
    <w:rsid w:val="006A5228"/>
    <w:rsid w:val="006D32EB"/>
    <w:rsid w:val="006E1321"/>
    <w:rsid w:val="00702C14"/>
    <w:rsid w:val="007055DF"/>
    <w:rsid w:val="00715F1F"/>
    <w:rsid w:val="0073016A"/>
    <w:rsid w:val="007768E1"/>
    <w:rsid w:val="007B49C3"/>
    <w:rsid w:val="007C79BE"/>
    <w:rsid w:val="007D3A21"/>
    <w:rsid w:val="0084122F"/>
    <w:rsid w:val="00863793"/>
    <w:rsid w:val="00863A07"/>
    <w:rsid w:val="008815B2"/>
    <w:rsid w:val="0088782E"/>
    <w:rsid w:val="0089553B"/>
    <w:rsid w:val="00895B14"/>
    <w:rsid w:val="008A3FDE"/>
    <w:rsid w:val="008C2895"/>
    <w:rsid w:val="00910F7F"/>
    <w:rsid w:val="009367E9"/>
    <w:rsid w:val="009656EC"/>
    <w:rsid w:val="009836BD"/>
    <w:rsid w:val="009C287E"/>
    <w:rsid w:val="009D0F7F"/>
    <w:rsid w:val="009E17F1"/>
    <w:rsid w:val="00A03158"/>
    <w:rsid w:val="00A46AE4"/>
    <w:rsid w:val="00A57BF2"/>
    <w:rsid w:val="00A6118C"/>
    <w:rsid w:val="00A745E8"/>
    <w:rsid w:val="00A830C8"/>
    <w:rsid w:val="00A84977"/>
    <w:rsid w:val="00A95C49"/>
    <w:rsid w:val="00AA27CB"/>
    <w:rsid w:val="00AA43C8"/>
    <w:rsid w:val="00AB1DBA"/>
    <w:rsid w:val="00AB3017"/>
    <w:rsid w:val="00AC4536"/>
    <w:rsid w:val="00AC6F94"/>
    <w:rsid w:val="00B10BA5"/>
    <w:rsid w:val="00B50C66"/>
    <w:rsid w:val="00B56FFB"/>
    <w:rsid w:val="00B7405C"/>
    <w:rsid w:val="00BA3902"/>
    <w:rsid w:val="00C07139"/>
    <w:rsid w:val="00C611EC"/>
    <w:rsid w:val="00C6520B"/>
    <w:rsid w:val="00C77CD1"/>
    <w:rsid w:val="00C8018C"/>
    <w:rsid w:val="00CA2D19"/>
    <w:rsid w:val="00CA5B49"/>
    <w:rsid w:val="00CA6F73"/>
    <w:rsid w:val="00CB1C05"/>
    <w:rsid w:val="00CF096F"/>
    <w:rsid w:val="00CF59AB"/>
    <w:rsid w:val="00D10D8C"/>
    <w:rsid w:val="00D2308B"/>
    <w:rsid w:val="00D24CA7"/>
    <w:rsid w:val="00D25603"/>
    <w:rsid w:val="00D2702D"/>
    <w:rsid w:val="00D463B0"/>
    <w:rsid w:val="00D655C4"/>
    <w:rsid w:val="00D81F60"/>
    <w:rsid w:val="00D91393"/>
    <w:rsid w:val="00D9470D"/>
    <w:rsid w:val="00DE406D"/>
    <w:rsid w:val="00E1663C"/>
    <w:rsid w:val="00E35109"/>
    <w:rsid w:val="00EA6EE4"/>
    <w:rsid w:val="00EB301B"/>
    <w:rsid w:val="00EC6153"/>
    <w:rsid w:val="00ED5CA6"/>
    <w:rsid w:val="00EF0D76"/>
    <w:rsid w:val="00EF7335"/>
    <w:rsid w:val="00F11BF1"/>
    <w:rsid w:val="00F12244"/>
    <w:rsid w:val="00F200EB"/>
    <w:rsid w:val="00F4152D"/>
    <w:rsid w:val="00F75D9F"/>
    <w:rsid w:val="00F9322E"/>
    <w:rsid w:val="00FA7970"/>
    <w:rsid w:val="00FD20A0"/>
    <w:rsid w:val="00FE0AD1"/>
    <w:rsid w:val="0E0E2062"/>
    <w:rsid w:val="118F1E98"/>
    <w:rsid w:val="280648B6"/>
    <w:rsid w:val="50223250"/>
    <w:rsid w:val="602F587C"/>
    <w:rsid w:val="6A1231B1"/>
    <w:rsid w:val="79EC5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30"/>
      <w:szCs w:val="22"/>
      <w:lang w:val="en-US" w:eastAsia="zh-CN" w:bidi="ar-SA"/>
    </w:rPr>
  </w:style>
  <w:style w:type="paragraph" w:styleId="2">
    <w:name w:val="heading 1"/>
    <w:next w:val="1"/>
    <w:link w:val="16"/>
    <w:qFormat/>
    <w:uiPriority w:val="0"/>
    <w:pPr>
      <w:keepNext/>
      <w:keepLines/>
      <w:spacing w:before="340" w:after="330" w:line="578" w:lineRule="auto"/>
      <w:jc w:val="center"/>
      <w:outlineLvl w:val="0"/>
    </w:pPr>
    <w:rPr>
      <w:rFonts w:eastAsia="方正小标宋_GBK" w:asciiTheme="minorHAnsi" w:hAnsiTheme="minorHAnsi" w:cstheme="minorBidi"/>
      <w:bCs/>
      <w:kern w:val="44"/>
      <w:sz w:val="36"/>
      <w:szCs w:val="44"/>
      <w:lang w:val="zh-CN" w:eastAsia="zh-CN" w:bidi="ar-SA"/>
    </w:rPr>
  </w:style>
  <w:style w:type="paragraph" w:styleId="3">
    <w:name w:val="heading 3"/>
    <w:next w:val="1"/>
    <w:link w:val="17"/>
    <w:qFormat/>
    <w:uiPriority w:val="0"/>
    <w:pPr>
      <w:keepNext/>
      <w:keepLines/>
      <w:numPr>
        <w:ilvl w:val="0"/>
        <w:numId w:val="1"/>
      </w:numPr>
      <w:snapToGrid w:val="0"/>
      <w:spacing w:before="156" w:beforeLines="50" w:after="156" w:afterLines="50" w:line="560" w:lineRule="exact"/>
      <w:outlineLvl w:val="2"/>
    </w:pPr>
    <w:rPr>
      <w:rFonts w:ascii="黑体" w:hAnsi="黑体" w:eastAsia="楷体" w:cs="Times New Roman"/>
      <w:b/>
      <w:bCs/>
      <w:kern w:val="0"/>
      <w:sz w:val="32"/>
      <w:szCs w:val="20"/>
      <w:lang w:val="zh-CN"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annotation text"/>
    <w:basedOn w:val="1"/>
    <w:link w:val="18"/>
    <w:semiHidden/>
    <w:unhideWhenUsed/>
    <w:qFormat/>
    <w:uiPriority w:val="99"/>
    <w:pPr>
      <w:jc w:val="left"/>
    </w:pPr>
  </w:style>
  <w:style w:type="paragraph" w:styleId="6">
    <w:name w:val="footer"/>
    <w:basedOn w:val="1"/>
    <w:link w:val="21"/>
    <w:unhideWhenUsed/>
    <w:qFormat/>
    <w:uiPriority w:val="99"/>
    <w:pPr>
      <w:tabs>
        <w:tab w:val="center" w:pos="4153"/>
        <w:tab w:val="right" w:pos="8306"/>
      </w:tabs>
      <w:snapToGrid w:val="0"/>
      <w:jc w:val="left"/>
    </w:pPr>
    <w:rPr>
      <w:sz w:val="18"/>
      <w:szCs w:val="18"/>
    </w:rPr>
  </w:style>
  <w:style w:type="paragraph" w:styleId="7">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qFormat/>
    <w:uiPriority w:val="39"/>
    <w:pPr>
      <w:tabs>
        <w:tab w:val="right" w:leader="dot" w:pos="8296"/>
      </w:tabs>
      <w:ind w:firstLine="198" w:firstLineChars="55"/>
    </w:pPr>
  </w:style>
  <w:style w:type="paragraph" w:styleId="9">
    <w:name w:val="annotation subject"/>
    <w:basedOn w:val="5"/>
    <w:next w:val="5"/>
    <w:link w:val="19"/>
    <w:semiHidden/>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styleId="14">
    <w:name w:val="annotation reference"/>
    <w:basedOn w:val="12"/>
    <w:semiHidden/>
    <w:unhideWhenUsed/>
    <w:qFormat/>
    <w:uiPriority w:val="99"/>
    <w:rPr>
      <w:sz w:val="21"/>
      <w:szCs w:val="21"/>
    </w:rPr>
  </w:style>
  <w:style w:type="paragraph" w:styleId="15">
    <w:name w:val="List Paragraph"/>
    <w:basedOn w:val="1"/>
    <w:qFormat/>
    <w:uiPriority w:val="34"/>
    <w:pPr>
      <w:ind w:firstLine="420"/>
    </w:pPr>
  </w:style>
  <w:style w:type="character" w:customStyle="1" w:styleId="16">
    <w:name w:val="标题 1 字符"/>
    <w:basedOn w:val="12"/>
    <w:link w:val="2"/>
    <w:qFormat/>
    <w:uiPriority w:val="0"/>
    <w:rPr>
      <w:rFonts w:eastAsia="方正小标宋_GBK"/>
      <w:bCs/>
      <w:kern w:val="44"/>
      <w:sz w:val="36"/>
      <w:szCs w:val="44"/>
      <w:lang w:val="zh-CN"/>
    </w:rPr>
  </w:style>
  <w:style w:type="character" w:customStyle="1" w:styleId="17">
    <w:name w:val="标题 3 字符"/>
    <w:basedOn w:val="12"/>
    <w:link w:val="3"/>
    <w:qFormat/>
    <w:uiPriority w:val="0"/>
    <w:rPr>
      <w:rFonts w:ascii="黑体" w:hAnsi="黑体" w:eastAsia="楷体" w:cs="Times New Roman"/>
      <w:b/>
      <w:bCs/>
      <w:kern w:val="0"/>
      <w:sz w:val="32"/>
      <w:szCs w:val="20"/>
      <w:lang w:val="zh-CN"/>
    </w:rPr>
  </w:style>
  <w:style w:type="character" w:customStyle="1" w:styleId="18">
    <w:name w:val="批注文字 字符"/>
    <w:basedOn w:val="12"/>
    <w:link w:val="5"/>
    <w:semiHidden/>
    <w:qFormat/>
    <w:uiPriority w:val="99"/>
  </w:style>
  <w:style w:type="character" w:customStyle="1" w:styleId="19">
    <w:name w:val="批注主题 字符"/>
    <w:basedOn w:val="18"/>
    <w:link w:val="9"/>
    <w:semiHidden/>
    <w:qFormat/>
    <w:uiPriority w:val="99"/>
    <w:rPr>
      <w:b/>
      <w:bCs/>
    </w:rPr>
  </w:style>
  <w:style w:type="character" w:customStyle="1" w:styleId="20">
    <w:name w:val="页眉 字符"/>
    <w:basedOn w:val="12"/>
    <w:link w:val="7"/>
    <w:qFormat/>
    <w:uiPriority w:val="99"/>
    <w:rPr>
      <w:rFonts w:eastAsia="仿宋_GB2312"/>
      <w:sz w:val="18"/>
      <w:szCs w:val="18"/>
    </w:rPr>
  </w:style>
  <w:style w:type="character" w:customStyle="1" w:styleId="21">
    <w:name w:val="页脚 字符"/>
    <w:basedOn w:val="12"/>
    <w:link w:val="6"/>
    <w:qFormat/>
    <w:uiPriority w:val="99"/>
    <w:rPr>
      <w:rFonts w:eastAsia="仿宋_GB231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C6EBB-6ED4-4FCF-9094-F9ECA7AE3139}">
  <ds:schemaRefs/>
</ds:datastoreItem>
</file>

<file path=docProps/app.xml><?xml version="1.0" encoding="utf-8"?>
<Properties xmlns="http://schemas.openxmlformats.org/officeDocument/2006/extended-properties" xmlns:vt="http://schemas.openxmlformats.org/officeDocument/2006/docPropsVTypes">
  <Template>Normal.dotm</Template>
  <Pages>6</Pages>
  <Words>1447</Words>
  <Characters>1502</Characters>
  <Lines>7</Lines>
  <Paragraphs>2</Paragraphs>
  <TotalTime>21</TotalTime>
  <ScaleCrop>false</ScaleCrop>
  <LinksUpToDate>false</LinksUpToDate>
  <CharactersWithSpaces>1502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2024-07-18T02:28:00Z</dcterms:created>
  <dc:creator>佟鹏</dc:creator>
  <cp:lastModifiedBy>雨露</cp:lastModifiedBy>
  <cp:lastPrinted>2024-11-26T11:25:00Z</cp:lastPrinted>
  <dcterms:modified xsi:type="dcterms:W3CDTF">2025-03-18T09:03:14Z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eyJoZGlkIjoiMDcyNzdiMjE4MzI5YWVhZjI2MzJhNGFiZTA4NmY0OWMiLCJ1c2VySWQiOiIzNTI3NDQ4NDkifQ==</vt:lpwstr>
  </property>
  <property fmtid="{D5CDD505-2E9C-101B-9397-08002B2CF9AE}" pid="3" name="KSOProductBuildVer">
    <vt:lpwstr>2052-12.1.0.20305</vt:lpwstr>
  </property>
  <property fmtid="{D5CDD505-2E9C-101B-9397-08002B2CF9AE}" pid="4" name="ICV">
    <vt:lpwstr>0D07949E5C654C118B8F911D9CDF5D1D_13</vt:lpwstr>
  </property>
</Properties>
</file>