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7456" behindDoc="1" locked="0" layoutInCell="1" allowOverlap="1">
            <wp:simplePos x="0" y="0"/>
            <wp:positionH relativeFrom="column">
              <wp:posOffset>-997585</wp:posOffset>
            </wp:positionH>
            <wp:positionV relativeFrom="paragraph">
              <wp:posOffset>-1369695</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3"/>
                    <a:stretch>
                      <a:fillRect/>
                    </a:stretch>
                  </pic:blipFill>
                  <pic:spPr>
                    <a:xfrm>
                      <a:off x="0" y="0"/>
                      <a:ext cx="7592060" cy="10739755"/>
                    </a:xfrm>
                    <a:prstGeom prst="rect">
                      <a:avLst/>
                    </a:prstGeom>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7872730</wp:posOffset>
                </wp:positionV>
                <wp:extent cx="2486025" cy="517525"/>
                <wp:effectExtent l="0" t="0" r="0" b="0"/>
                <wp:wrapNone/>
                <wp:docPr id="5" name="文本框 5"/>
                <wp:cNvGraphicFramePr/>
                <a:graphic xmlns:a="http://schemas.openxmlformats.org/drawingml/2006/main">
                  <a:graphicData uri="http://schemas.microsoft.com/office/word/2010/wordprocessingShape">
                    <wps:wsp>
                      <wps:cNvSpPr txBox="1"/>
                      <wps:spPr>
                        <a:xfrm>
                          <a:off x="2600960" y="9102725"/>
                          <a:ext cx="248602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95.75pt;z-index:251666432;mso-width-relative:page;mso-height-relative:page;" filled="f" stroked="f" coordsize="21600,21600" o:gfxdata="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6j1ujdAAAADQEAAA8AAAAA&#10;AAAAAQAgAAAAIgAAAGRycy9kb3ducmV2LnhtbFBLAQIUABQAAAAIAIdO4kBTXeyxSAIAAHIEAAAO&#10;AAAAAAAAAAEAIAAAACwBAABkcnMvZTJvRG9jLnhtbFBLBQYAAAAABgAGAFkBAADmBQ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2021年9月</w:t>
                      </w:r>
                    </w:p>
                  </w:txbxContent>
                </v:textbox>
              </v:shape>
            </w:pict>
          </mc:Fallback>
        </mc:AlternateContent>
      </w:r>
      <w:r>
        <w:br w:type="page"/>
      </w:r>
    </w:p>
    <w:p>
      <w:pPr>
        <w:rPr>
          <w:rFonts w:ascii="黑体" w:hAnsi="黑体" w:eastAsia="黑体" w:cs="黑体"/>
          <w:sz w:val="72"/>
          <w:szCs w:val="96"/>
        </w:rPr>
      </w:pPr>
    </w:p>
    <w:p>
      <w:pPr>
        <w:rPr>
          <w:rFonts w:ascii="黑体" w:hAnsi="黑体" w:eastAsia="黑体" w:cs="黑体"/>
          <w:sz w:val="72"/>
          <w:szCs w:val="96"/>
        </w:rPr>
      </w:pPr>
    </w:p>
    <w:p>
      <w:pPr>
        <w:rPr>
          <w:rFonts w:ascii="黑体" w:hAnsi="黑体" w:eastAsia="黑体" w:cs="黑体"/>
          <w:sz w:val="72"/>
          <w:szCs w:val="96"/>
        </w:rPr>
      </w:pPr>
      <w:r>
        <w:rPr>
          <w:rFonts w:hint="eastAsia" w:ascii="黑体" w:hAnsi="黑体" w:eastAsia="黑体" w:cs="黑体"/>
          <w:sz w:val="72"/>
          <w:szCs w:val="96"/>
        </w:rPr>
        <w:t>2020年度</w:t>
      </w:r>
      <w:r>
        <w:rPr>
          <w:rFonts w:hint="eastAsia" w:ascii="黑体" w:hAnsi="黑体" w:eastAsia="黑体" w:cs="黑体"/>
          <w:sz w:val="72"/>
          <w:szCs w:val="96"/>
          <w:lang w:eastAsia="zh-CN"/>
        </w:rPr>
        <w:t>单位</w:t>
      </w:r>
      <w:r>
        <w:rPr>
          <w:rFonts w:hint="eastAsia" w:ascii="黑体" w:hAnsi="黑体" w:eastAsia="黑体" w:cs="黑体"/>
          <w:sz w:val="72"/>
          <w:szCs w:val="96"/>
        </w:rPr>
        <w:t>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4"/>
          <w:szCs w:val="44"/>
          <w:highlight w:val="yellow"/>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秦皇岛市医学会</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ascii="黑体" w:hAnsi="黑体" w:eastAsia="黑体" w:cs="黑体"/>
          <w:sz w:val="72"/>
          <w:szCs w:val="96"/>
          <w:highlight w:val="yellow"/>
        </w:rPr>
      </w:pPr>
      <w:r>
        <w:rPr>
          <w:rFonts w:hint="eastAsia" w:ascii="黑体" w:hAnsi="黑体" w:eastAsia="黑体" w:cs="黑体"/>
          <w:sz w:val="72"/>
          <w:szCs w:val="96"/>
        </w:rPr>
        <w:t>秦皇岛市医学会</w:t>
      </w:r>
    </w:p>
    <w:p>
      <w:pPr>
        <w:rPr>
          <w:rFonts w:ascii="黑体" w:hAnsi="黑体" w:eastAsia="黑体" w:cs="黑体"/>
          <w:sz w:val="72"/>
          <w:szCs w:val="96"/>
        </w:rPr>
      </w:pPr>
      <w:r>
        <w:rPr>
          <w:rFonts w:hint="eastAsia" w:ascii="黑体" w:hAnsi="黑体" w:eastAsia="黑体" w:cs="黑体"/>
          <w:sz w:val="72"/>
          <w:szCs w:val="96"/>
        </w:rPr>
        <w:t>2020年度</w:t>
      </w:r>
      <w:r>
        <w:rPr>
          <w:rFonts w:hint="eastAsia" w:ascii="黑体" w:hAnsi="黑体" w:eastAsia="黑体" w:cs="黑体"/>
          <w:sz w:val="72"/>
          <w:szCs w:val="96"/>
          <w:lang w:eastAsia="zh-CN"/>
        </w:rPr>
        <w:t>单位</w:t>
      </w:r>
      <w:r>
        <w:rPr>
          <w:rFonts w:hint="eastAsia" w:ascii="黑体" w:hAnsi="黑体" w:eastAsia="黑体" w:cs="黑体"/>
          <w:sz w:val="72"/>
          <w:szCs w:val="96"/>
        </w:rPr>
        <w:t>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headerReference r:id="rId4" w:type="first"/>
          <w:footerReference r:id="rId5" w:type="first"/>
          <w:headerReference r:id="rId3" w:type="default"/>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决算报表</w:t>
      </w:r>
    </w:p>
    <w:p>
      <w:pPr>
        <w:widowControl/>
        <w:spacing w:after="160" w:line="580" w:lineRule="exact"/>
        <w:ind w:firstLine="640" w:firstLineChars="200"/>
        <w:rPr>
          <w:rFonts w:ascii="Times New Roman" w:hAnsi="Times New Roman" w:eastAsia="黑体" w:cs="Times New Roman"/>
          <w:sz w:val="32"/>
          <w:szCs w:val="32"/>
        </w:rPr>
        <w:sectPr>
          <w:headerReference r:id="rId7" w:type="first"/>
          <w:footerReference r:id="rId9" w:type="first"/>
          <w:headerReference r:id="rId6" w:type="default"/>
          <w:footerReference r:id="rId8"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60288"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第一部分  </w:t>
                            </w:r>
                            <w:r>
                              <w:rPr>
                                <w:rFonts w:hint="eastAsia" w:ascii="黑体" w:hAnsi="黑体" w:eastAsia="黑体" w:cs="黑体"/>
                                <w:color w:val="000000" w:themeColor="text1"/>
                                <w:sz w:val="96"/>
                                <w:szCs w:val="96"/>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60288;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第一部分  </w:t>
                      </w:r>
                      <w:r>
                        <w:rPr>
                          <w:rFonts w:hint="eastAsia" w:ascii="黑体" w:hAnsi="黑体" w:eastAsia="黑体" w:cs="黑体"/>
                          <w:color w:val="000000" w:themeColor="text1"/>
                          <w:sz w:val="96"/>
                          <w:szCs w:val="96"/>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w:t>
      </w:r>
      <w:r>
        <w:rPr>
          <w:rFonts w:hint="eastAsia" w:ascii="黑体" w:eastAsia="黑体" w:cs="黑体"/>
          <w:b w:val="0"/>
          <w:bCs w:val="0"/>
          <w:kern w:val="0"/>
          <w:sz w:val="32"/>
          <w:szCs w:val="32"/>
          <w:lang w:eastAsia="zh-CN"/>
        </w:rPr>
        <w:t>单位</w:t>
      </w:r>
      <w:r>
        <w:rPr>
          <w:rFonts w:hint="eastAsia" w:ascii="黑体" w:eastAsia="黑体" w:cs="黑体"/>
          <w:b w:val="0"/>
          <w:bCs w:val="0"/>
          <w:kern w:val="0"/>
          <w:sz w:val="32"/>
          <w:szCs w:val="32"/>
        </w:rPr>
        <w:t>职责</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组织发动医务人员推动医学科学技术发展，承担医学继续教育工作，协助卫生行政</w:t>
      </w:r>
      <w:r>
        <w:rPr>
          <w:rFonts w:hint="eastAsia" w:ascii="仿宋_GB2312" w:hAnsi="Calibri" w:eastAsia="仿宋_GB2312" w:cs="Arial Black"/>
          <w:kern w:val="0"/>
          <w:sz w:val="32"/>
          <w:szCs w:val="32"/>
          <w:lang w:eastAsia="zh-CN"/>
        </w:rPr>
        <w:t>单位</w:t>
      </w:r>
      <w:r>
        <w:rPr>
          <w:rFonts w:hint="eastAsia" w:ascii="仿宋_GB2312" w:hAnsi="Calibri" w:eastAsia="仿宋_GB2312" w:cs="Arial Black"/>
          <w:kern w:val="0"/>
          <w:sz w:val="32"/>
          <w:szCs w:val="32"/>
        </w:rPr>
        <w:t>完成各级各类专业技术人员的考核工作，负责组织首次医疗事故技术鉴定工作。</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w:t>
      </w:r>
      <w:r>
        <w:rPr>
          <w:rFonts w:hint="eastAsia" w:ascii="仿宋_GB2312" w:hAnsi="Calibri" w:eastAsia="仿宋_GB2312" w:cs="Arial Black"/>
          <w:kern w:val="0"/>
          <w:sz w:val="32"/>
          <w:szCs w:val="32"/>
          <w:lang w:eastAsia="zh-CN"/>
        </w:rPr>
        <w:t>单位</w:t>
      </w:r>
      <w:r>
        <w:rPr>
          <w:rFonts w:hint="eastAsia" w:ascii="仿宋_GB2312" w:hAnsi="Calibri" w:eastAsia="仿宋_GB2312" w:cs="Arial Black"/>
          <w:kern w:val="0"/>
          <w:sz w:val="32"/>
          <w:szCs w:val="32"/>
        </w:rPr>
        <w:t>决算汇编范围的独立核算单位（以下简称“单位”）共1个，具体情况如下：</w:t>
      </w:r>
    </w:p>
    <w:tbl>
      <w:tblPr>
        <w:tblStyle w:val="6"/>
        <w:tblpPr w:leftFromText="180" w:rightFromText="180" w:vertAnchor="text" w:horzAnchor="page" w:tblpXSpec="center" w:tblpY="10"/>
        <w:tblOverlap w:val="never"/>
        <w:tblW w:w="9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272"/>
        <w:gridCol w:w="2558"/>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27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55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87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272"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rPr>
              <w:t>秦皇岛市医学会</w:t>
            </w:r>
          </w:p>
        </w:tc>
        <w:tc>
          <w:tcPr>
            <w:tcW w:w="255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财政补助事业单位</w:t>
            </w:r>
          </w:p>
        </w:tc>
        <w:tc>
          <w:tcPr>
            <w:tcW w:w="2874"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672"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
      <w:pPr>
        <w:widowControl/>
        <w:spacing w:after="160" w:line="580" w:lineRule="exact"/>
        <w:ind w:firstLine="1440" w:firstLineChars="200"/>
        <w:rPr>
          <w:rFonts w:ascii="Times New Roman" w:hAnsi="Times New Roman" w:eastAsia="黑体" w:cs="Times New Roman"/>
          <w:sz w:val="32"/>
          <w:szCs w:val="32"/>
        </w:rPr>
        <w:sectPr>
          <w:headerReference r:id="rId10"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2336"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2336;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3360"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3360;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4"/>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drawing>
          <wp:anchor distT="0" distB="0" distL="114300" distR="114300" simplePos="0" relativeHeight="251668480" behindDoc="1" locked="0" layoutInCell="1" allowOverlap="1">
            <wp:simplePos x="0" y="0"/>
            <wp:positionH relativeFrom="column">
              <wp:posOffset>354965</wp:posOffset>
            </wp:positionH>
            <wp:positionV relativeFrom="paragraph">
              <wp:posOffset>1137920</wp:posOffset>
            </wp:positionV>
            <wp:extent cx="4157980" cy="2273300"/>
            <wp:effectExtent l="0" t="0" r="2540" b="12700"/>
            <wp:wrapNone/>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_GB2312" w:hAnsi="Times New Roman" w:eastAsia="仿宋_GB2312" w:cs="Wingdings"/>
          <w:sz w:val="32"/>
          <w:szCs w:val="32"/>
        </w:rPr>
        <w:t>本单位2020年度收、支总计（含结转和结余）87.06万元。与2019年度决算相比，收支各</w:t>
      </w:r>
      <w:r>
        <w:rPr>
          <w:rFonts w:ascii="仿宋_GB2312" w:hAnsi="仿宋_GB2312" w:eastAsia="仿宋_GB2312" w:cs="仿宋_GB2312"/>
          <w:sz w:val="33"/>
          <w:szCs w:val="33"/>
        </w:rPr>
        <w:t>减少</w:t>
      </w:r>
      <w:r>
        <w:rPr>
          <w:rFonts w:hint="eastAsia" w:ascii="仿宋_GB2312" w:hAnsi="Times New Roman" w:eastAsia="仿宋_GB2312" w:cs="Wingdings"/>
          <w:sz w:val="32"/>
          <w:szCs w:val="32"/>
        </w:rPr>
        <w:t>16.79万元，下降16.16%，主要原因是2020年有退休人员。</w:t>
      </w: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单位2020年度本年收入合计85.64万元，其中：财政拨款收入85.64万元，占100%。</w:t>
      </w:r>
    </w:p>
    <w:p>
      <w:pPr>
        <w:snapToGrid w:val="0"/>
        <w:spacing w:line="600" w:lineRule="exact"/>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420" w:firstLineChars="200"/>
        <w:rPr>
          <w:rFonts w:hint="eastAsia" w:ascii="仿宋_GB2312" w:hAnsi="Times New Roman" w:eastAsia="仿宋_GB2312" w:cs="Wingdings"/>
          <w:sz w:val="32"/>
          <w:szCs w:val="32"/>
        </w:rPr>
      </w:pPr>
      <w:r>
        <w:drawing>
          <wp:anchor distT="0" distB="0" distL="114300" distR="114300" simplePos="0" relativeHeight="251659264" behindDoc="0" locked="0" layoutInCell="1" allowOverlap="1">
            <wp:simplePos x="0" y="0"/>
            <wp:positionH relativeFrom="column">
              <wp:posOffset>608965</wp:posOffset>
            </wp:positionH>
            <wp:positionV relativeFrom="page">
              <wp:posOffset>7686675</wp:posOffset>
            </wp:positionV>
            <wp:extent cx="4191000" cy="1533525"/>
            <wp:effectExtent l="0" t="0" r="0" b="9525"/>
            <wp:wrapTopAndBottom/>
            <wp:docPr id="1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_GB2312" w:hAnsi="Times New Roman" w:eastAsia="仿宋_GB2312" w:cs="Wingdings"/>
          <w:sz w:val="32"/>
          <w:szCs w:val="32"/>
        </w:rPr>
        <w:t>本</w:t>
      </w:r>
      <w:r>
        <w:rPr>
          <w:rFonts w:hint="eastAsia" w:ascii="仿宋_GB2312" w:hAnsi="Times New Roman" w:eastAsia="仿宋_GB2312" w:cs="Wingdings"/>
          <w:sz w:val="32"/>
          <w:szCs w:val="32"/>
          <w:lang w:eastAsia="zh-CN"/>
        </w:rPr>
        <w:t>单位</w:t>
      </w:r>
      <w:r>
        <w:rPr>
          <w:rFonts w:hint="eastAsia" w:ascii="仿宋_GB2312" w:hAnsi="Times New Roman" w:eastAsia="仿宋_GB2312" w:cs="Wingdings"/>
          <w:sz w:val="32"/>
          <w:szCs w:val="32"/>
        </w:rPr>
        <w:t>2020年度本年支出合计87.06万元，其中：基本支出83.47万元，占95.87%；项目支出3.59万元，占4.13%。</w:t>
      </w:r>
    </w:p>
    <w:p>
      <w:pPr>
        <w:keepNext/>
        <w:keepLines/>
        <w:snapToGrid w:val="0"/>
        <w:spacing w:line="600" w:lineRule="exact"/>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hint="eastAsia"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楷体_GB2312" w:hAnsi="Times New Roman" w:eastAsia="楷体_GB2312" w:cs="Mongolian Baiti"/>
          <w:b/>
          <w:bCs/>
          <w:sz w:val="32"/>
          <w:szCs w:val="32"/>
        </w:rPr>
      </w:pPr>
      <w:r>
        <w:rPr>
          <w:rFonts w:hint="eastAsia" w:ascii="仿宋_GB2312" w:hAnsi="Times New Roman" w:eastAsia="仿宋_GB2312" w:cs="Wingdings"/>
          <w:sz w:val="32"/>
          <w:szCs w:val="32"/>
        </w:rPr>
        <w:t>本单位2020年度财政拨款收支均为一般公共预算财政拨款，其中本年收入85.64万元,比2019年度减少18.21万元，增降低17.53%，主要是2020年有退休人员；本年支出87.06万元，减少14.79万元，降低14.52%，主要是2020年有退休单位人员。</w:t>
      </w:r>
    </w:p>
    <w:p>
      <w:pPr>
        <w:adjustRightInd w:val="0"/>
        <w:snapToGrid w:val="0"/>
        <w:spacing w:line="600" w:lineRule="exact"/>
        <w:ind w:firstLine="643" w:firstLineChars="200"/>
        <w:rPr>
          <w:rFonts w:ascii="楷体_GB2312" w:hAnsi="Times New Roman" w:eastAsia="楷体_GB2312" w:cs="Mongolian Baiti"/>
          <w:b/>
          <w:bCs/>
          <w:sz w:val="32"/>
          <w:szCs w:val="32"/>
        </w:rPr>
      </w:pPr>
    </w:p>
    <w:p>
      <w:pPr>
        <w:adjustRightInd w:val="0"/>
        <w:snapToGrid w:val="0"/>
        <w:spacing w:line="600" w:lineRule="exact"/>
        <w:ind w:firstLine="420" w:firstLineChars="200"/>
        <w:rPr>
          <w:rFonts w:ascii="楷体_GB2312" w:hAnsi="Times New Roman" w:eastAsia="楷体_GB2312" w:cs="Mongolian Baiti"/>
          <w:b/>
          <w:bCs/>
          <w:sz w:val="32"/>
          <w:szCs w:val="32"/>
        </w:rPr>
      </w:pPr>
      <w:r>
        <w:drawing>
          <wp:anchor distT="0" distB="0" distL="114300" distR="114300" simplePos="0" relativeHeight="251669504" behindDoc="0" locked="0" layoutInCell="1" allowOverlap="1">
            <wp:simplePos x="0" y="0"/>
            <wp:positionH relativeFrom="column">
              <wp:posOffset>-134620</wp:posOffset>
            </wp:positionH>
            <wp:positionV relativeFrom="paragraph">
              <wp:posOffset>57785</wp:posOffset>
            </wp:positionV>
            <wp:extent cx="5891530" cy="2568575"/>
            <wp:effectExtent l="4445" t="4445" r="17145" b="17780"/>
            <wp:wrapSquare wrapText="bothSides"/>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单位2020年度一般公共预算财政拨款收入85.64万元，完成年初预算的82.4%,比年初预算减少18.20万元，决算数小于预算数主要原因是2020年有退休人员；本年支出87.06万元，完成年初预算的83.84%,比年初预算减少16.78万元，决算数小于预算数主要原因是2020年有退休人员。</w:t>
      </w:r>
    </w:p>
    <w:p>
      <w:pPr>
        <w:adjustRightInd w:val="0"/>
        <w:snapToGrid w:val="0"/>
        <w:spacing w:line="600" w:lineRule="exact"/>
        <w:ind w:firstLine="420" w:firstLineChars="200"/>
      </w:pPr>
      <w:r>
        <w:drawing>
          <wp:anchor distT="0" distB="0" distL="114300" distR="114300" simplePos="0" relativeHeight="251670528" behindDoc="0" locked="0" layoutInCell="1" allowOverlap="1">
            <wp:simplePos x="0" y="0"/>
            <wp:positionH relativeFrom="column">
              <wp:posOffset>-516255</wp:posOffset>
            </wp:positionH>
            <wp:positionV relativeFrom="paragraph">
              <wp:posOffset>26035</wp:posOffset>
            </wp:positionV>
            <wp:extent cx="6753225" cy="3280410"/>
            <wp:effectExtent l="4445" t="4445" r="8890" b="6985"/>
            <wp:wrapSquare wrapText="bothSides"/>
            <wp:docPr id="11"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pPr>
        <w:adjustRightInd w:val="0"/>
        <w:snapToGrid w:val="0"/>
        <w:spacing w:line="600" w:lineRule="exact"/>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（三）财政拨款支出决算结构情况</w:t>
      </w:r>
      <w:bookmarkStart w:id="0" w:name="_GoBack"/>
      <w:bookmarkEnd w:id="0"/>
    </w:p>
    <w:p>
      <w:pPr>
        <w:shd w:val="clear" w:color="auto" w:fill="FFFFFF"/>
        <w:spacing w:before="240" w:after="240"/>
        <w:ind w:firstLine="640" w:firstLineChars="200"/>
        <w:jc w:val="left"/>
        <w:rPr>
          <w:rFonts w:ascii="仿宋_GB2312" w:hAnsi="仿宋_GB2312" w:eastAsia="仿宋_GB2312" w:cs="仿宋_GB2312"/>
          <w:sz w:val="33"/>
          <w:szCs w:val="33"/>
        </w:rPr>
      </w:pPr>
      <w:r>
        <w:rPr>
          <w:rFonts w:hint="eastAsia" w:ascii="仿宋_GB2312" w:hAnsi="Times New Roman" w:eastAsia="仿宋_GB2312" w:cs="Wingdings"/>
          <w:sz w:val="32"/>
          <w:szCs w:val="32"/>
        </w:rPr>
        <w:t>2020 年度财政拨款支出87.06万元，主要用于以下方面：</w:t>
      </w:r>
      <w:r>
        <w:rPr>
          <w:rFonts w:ascii="仿宋_GB2312" w:hAnsi="仿宋_GB2312" w:eastAsia="仿宋_GB2312" w:cs="仿宋_GB2312"/>
          <w:sz w:val="33"/>
          <w:szCs w:val="33"/>
        </w:rPr>
        <w:t>社会保障和就业 （类）支出10.41万元，占11.96%；卫生健康（类）支出72.75万元，占83.56%；住房保障（类）支出3.90万元，占4.48%；</w:t>
      </w:r>
    </w:p>
    <w:p>
      <w:pPr>
        <w:shd w:val="clear" w:color="auto" w:fill="FFFFFF"/>
        <w:spacing w:before="240" w:after="240"/>
        <w:jc w:val="left"/>
        <w:rPr>
          <w:rFonts w:ascii="仿宋_GB2312" w:hAnsi="仿宋_GB2312" w:eastAsia="仿宋_GB2312" w:cs="仿宋_GB2312"/>
          <w:sz w:val="33"/>
          <w:szCs w:val="33"/>
        </w:rPr>
      </w:pPr>
      <w:r>
        <w:drawing>
          <wp:inline distT="0" distB="0" distL="114300" distR="114300">
            <wp:extent cx="5656580" cy="2529840"/>
            <wp:effectExtent l="4445" t="4445" r="8255" b="1079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adjustRightInd w:val="0"/>
        <w:snapToGrid w:val="0"/>
        <w:spacing w:line="600" w:lineRule="exact"/>
        <w:ind w:firstLine="321" w:firstLineChars="1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年度财政拨款基本支出83.47万元，其中：人员经费 81.06万元，主要包括基本工资、津贴补贴、奖金、绩效工资、机关事业单位基本养老保险缴费、职工基本医疗保险缴费、公务员医疗补助缴费、住房公积金、其他社会保障缴费、其他工资福利支出、退休费、奖励金、其他对个人和家庭的补助支出；公用经费2.41万元，主要包括办公费、水费、电费、邮电费、维修（护）费、福利费。</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本单位2020年度“三公”经费财政拨款支出预算为0.03万元，支出决算为0.00元，完成预算的0.00%,主要原因是没有发生公务接待业务。</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eastAsia" w:ascii="FangSong_GB2312" w:hAnsi="Calibri" w:eastAsia="FangSong_GB2312" w:cs="Arial Black"/>
          <w:kern w:val="0"/>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本单位2020年因公出国（境）费支出0.00万元，完成预算的0.00%。</w:t>
      </w:r>
      <w:r>
        <w:rPr>
          <w:rFonts w:hint="eastAsia" w:ascii="仿宋_GB2312" w:hAnsi="Times New Roman" w:eastAsia="仿宋_GB2312" w:cs="Wingdings"/>
          <w:sz w:val="32"/>
          <w:szCs w:val="32"/>
        </w:rPr>
        <w:t>因公出国（境）团组0个、共0人、参加其他单位组织的因公出国（境）团组0个、共0人/无本单位组织的出国（境）团组。</w:t>
      </w:r>
      <w:r>
        <w:rPr>
          <w:rFonts w:hint="eastAsia" w:ascii="FangSong_GB2312" w:hAnsi="Calibri" w:eastAsia="FangSong_GB2312" w:cs="Arial Black"/>
          <w:kern w:val="0"/>
          <w:sz w:val="32"/>
          <w:szCs w:val="32"/>
        </w:rPr>
        <w:t>因公出国（境）费支出较预算持平0.00万元，不变0.00%,主要是我单位无出国出境人员；较上年持平0.00万元，不变0.00%,主要是我单位无出国出境人员。</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本单位2020年公务用车购置及运行维护费支出0.00万元，完成预算的0.00%，</w:t>
      </w:r>
      <w:r>
        <w:rPr>
          <w:rFonts w:hint="eastAsia" w:ascii="仿宋_GB2312" w:hAnsi="Times New Roman" w:eastAsia="仿宋_GB2312" w:cs="Wingdings"/>
          <w:color w:val="000000"/>
          <w:sz w:val="32"/>
          <w:szCs w:val="32"/>
        </w:rPr>
        <w:t>与年初预算持平</w:t>
      </w:r>
      <w:r>
        <w:rPr>
          <w:rFonts w:hint="eastAsia" w:ascii="仿宋_GB2312" w:hAnsi="Times New Roman" w:eastAsia="仿宋_GB2312" w:cs="Wingdings"/>
          <w:sz w:val="32"/>
          <w:szCs w:val="32"/>
        </w:rPr>
        <w:t>；</w:t>
      </w:r>
      <w:r>
        <w:rPr>
          <w:rFonts w:hint="eastAsia" w:ascii="仿宋_GB2312" w:hAnsi="Times New Roman" w:eastAsia="仿宋_GB2312" w:cs="Wingdings"/>
          <w:color w:val="000000"/>
          <w:sz w:val="32"/>
          <w:szCs w:val="32"/>
        </w:rPr>
        <w:t>与2019年度决算支出持平</w:t>
      </w:r>
      <w:r>
        <w:rPr>
          <w:rFonts w:hint="eastAsia" w:ascii="仿宋_GB2312" w:hAnsi="Times New Roman" w:eastAsia="仿宋_GB2312" w:cs="Wingdings"/>
          <w:sz w:val="32"/>
          <w:szCs w:val="32"/>
        </w:rPr>
        <w:t>。</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FangSong_GB2312" w:hAnsi="Calibri" w:eastAsia="FangSong_GB2312" w:cs="Arial Black"/>
          <w:kern w:val="0"/>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本单位2020年度公务用车购置量0辆，发生“公务用车购置”经费支出0.00万元。</w:t>
      </w:r>
      <w:r>
        <w:rPr>
          <w:rFonts w:hint="eastAsia" w:ascii="FangSong_GB2312" w:hAnsi="Calibri" w:eastAsia="FangSong_GB2312" w:cs="Arial Black"/>
          <w:kern w:val="0"/>
          <w:sz w:val="32"/>
          <w:szCs w:val="32"/>
        </w:rPr>
        <w:t>公务用车购置费支出较预算持平0.00万元，不变0.00%,主要是我单位未发生“公务用车购置”经费支出；较上年持平0.00万元，不变0.00%,主要是我单位未发生“公务用车购置”经费支出。</w:t>
      </w:r>
    </w:p>
    <w:p>
      <w:pPr>
        <w:adjustRightInd w:val="0"/>
        <w:snapToGrid w:val="0"/>
        <w:spacing w:line="600" w:lineRule="exact"/>
        <w:ind w:firstLine="643" w:firstLineChars="200"/>
        <w:rPr>
          <w:rFonts w:ascii="FangSong_GB2312" w:hAnsi="Calibri" w:eastAsia="FangSong_GB2312" w:cs="Arial Black"/>
          <w:kern w:val="0"/>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本单位2020年度单位公务用车保有量0辆,发生运行维护费支出0.00万元。</w:t>
      </w:r>
      <w:r>
        <w:rPr>
          <w:rFonts w:hint="eastAsia" w:ascii="FangSong_GB2312" w:hAnsi="Calibri" w:eastAsia="FangSong_GB2312" w:cs="Arial Black"/>
          <w:kern w:val="0"/>
          <w:sz w:val="32"/>
          <w:szCs w:val="32"/>
        </w:rPr>
        <w:t>公务用车</w:t>
      </w:r>
      <w:r>
        <w:rPr>
          <w:rFonts w:hint="eastAsia" w:ascii="FangSong_GB2312" w:hAnsi="Calibri" w:eastAsia="FangSong_GB2312" w:cs="Arial Black"/>
          <w:kern w:val="0"/>
          <w:sz w:val="32"/>
          <w:szCs w:val="32"/>
          <w:lang w:val="en-US" w:eastAsia="zh-CN"/>
        </w:rPr>
        <w:t>运行维护费支出</w:t>
      </w:r>
      <w:r>
        <w:rPr>
          <w:rFonts w:hint="eastAsia" w:ascii="FangSong_GB2312" w:hAnsi="Calibri" w:eastAsia="FangSong_GB2312" w:cs="Arial Black"/>
          <w:kern w:val="0"/>
          <w:sz w:val="32"/>
          <w:szCs w:val="32"/>
        </w:rPr>
        <w:t>较预算持平0.00万元，不变0.00%,主要是我单位未发生“</w:t>
      </w:r>
      <w:r>
        <w:rPr>
          <w:rFonts w:hint="eastAsia" w:ascii="FangSong_GB2312" w:hAnsi="Calibri" w:eastAsia="FangSong_GB2312" w:cs="Arial Black"/>
          <w:kern w:val="0"/>
          <w:sz w:val="32"/>
          <w:szCs w:val="32"/>
          <w:lang w:val="en-US" w:eastAsia="zh-CN"/>
        </w:rPr>
        <w:t>公务用车运行维护费</w:t>
      </w:r>
      <w:r>
        <w:rPr>
          <w:rFonts w:hint="eastAsia" w:ascii="FangSong_GB2312" w:hAnsi="Calibri" w:eastAsia="FangSong_GB2312" w:cs="Arial Black"/>
          <w:kern w:val="0"/>
          <w:sz w:val="32"/>
          <w:szCs w:val="32"/>
        </w:rPr>
        <w:t>”经费支出；较上年持平0.00万元，不变0.00%,主要是我单位未发生“</w:t>
      </w:r>
      <w:r>
        <w:rPr>
          <w:rFonts w:hint="eastAsia" w:ascii="FangSong_GB2312" w:hAnsi="Calibri" w:eastAsia="FangSong_GB2312" w:cs="Arial Black"/>
          <w:kern w:val="0"/>
          <w:sz w:val="32"/>
          <w:szCs w:val="32"/>
          <w:lang w:val="en-US" w:eastAsia="zh-CN"/>
        </w:rPr>
        <w:t>公务用车运行维护费</w:t>
      </w:r>
      <w:r>
        <w:rPr>
          <w:rFonts w:hint="eastAsia" w:ascii="FangSong_GB2312" w:hAnsi="Calibri" w:eastAsia="FangSong_GB2312" w:cs="Arial Black"/>
          <w:kern w:val="0"/>
          <w:sz w:val="32"/>
          <w:szCs w:val="32"/>
        </w:rPr>
        <w:t>”经费支出。</w:t>
      </w:r>
    </w:p>
    <w:p>
      <w:pPr>
        <w:adjustRightInd w:val="0"/>
        <w:snapToGrid w:val="0"/>
        <w:spacing w:line="600" w:lineRule="exact"/>
        <w:ind w:firstLine="640" w:firstLineChars="200"/>
        <w:rPr>
          <w:rFonts w:ascii="仿宋_GB2312" w:hAnsi="Times New Roman" w:eastAsia="仿宋_GB2312" w:cs="Wingdings"/>
          <w:color w:val="000000"/>
          <w:sz w:val="32"/>
          <w:szCs w:val="32"/>
        </w:rPr>
      </w:pP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本单位2020年公务接待费支出0.00万元，完成预算的0.00%。发生</w:t>
      </w:r>
      <w:r>
        <w:rPr>
          <w:rFonts w:hint="eastAsia" w:ascii="仿宋_GB2312" w:hAnsi="Times New Roman" w:eastAsia="仿宋_GB2312" w:cs="Wingdings"/>
          <w:sz w:val="32"/>
          <w:szCs w:val="32"/>
        </w:rPr>
        <w:t>公务接待共0批次、0人次。公务接待费支出较</w:t>
      </w:r>
      <w:r>
        <w:rPr>
          <w:rFonts w:hint="eastAsia" w:ascii="仿宋_GB2312" w:hAnsi="Times New Roman" w:eastAsia="仿宋_GB2312" w:cs="Wingdings"/>
          <w:color w:val="000000"/>
          <w:sz w:val="32"/>
          <w:szCs w:val="32"/>
        </w:rPr>
        <w:t>预算减少0.03万元，降低100%,主要原因是没有发生公务接待费用</w:t>
      </w:r>
      <w:r>
        <w:rPr>
          <w:rFonts w:hint="eastAsia" w:ascii="仿宋_GB2312" w:hAnsi="Times New Roman" w:eastAsia="仿宋_GB2312" w:cs="Wingdings"/>
          <w:sz w:val="32"/>
          <w:szCs w:val="32"/>
        </w:rPr>
        <w:t>；</w:t>
      </w:r>
      <w:r>
        <w:rPr>
          <w:rFonts w:hint="eastAsia" w:ascii="仿宋_GB2312" w:hAnsi="Times New Roman" w:eastAsia="仿宋_GB2312" w:cs="Wingdings"/>
          <w:color w:val="000000"/>
          <w:sz w:val="32"/>
          <w:szCs w:val="32"/>
        </w:rPr>
        <w:t>与2019年度决算支出持平。</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组织对2020年度项目支出全面开展绩效自评，其中，一般公共预算一级项目0个，二级项目1个，共涉及资金2.62万元，占一般公共预算项目支出总额的72.98%；政府性基金预算一级项目0个，二级项目0个,共涉及资金0万元，占政府性基金预算项目支出总额的0.00%。</w:t>
      </w:r>
    </w:p>
    <w:p>
      <w:pPr>
        <w:adjustRightInd w:val="0"/>
        <w:snapToGrid w:val="0"/>
        <w:spacing w:line="600" w:lineRule="exact"/>
        <w:ind w:left="319" w:leftChars="152" w:firstLine="320" w:firstLineChars="1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组织对“医学鉴定费”二级项目开展了</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评价，涉及一般公共预算支出2.62万元，政府性基金预算支出0.00万元。</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 xml:space="preserve">（二） </w:t>
      </w:r>
      <w:r>
        <w:rPr>
          <w:rFonts w:hint="eastAsia" w:ascii="楷体_GB2312" w:hAnsi="楷体_GB2312" w:eastAsia="楷体_GB2312" w:cs="楷体_GB2312"/>
          <w:b/>
          <w:bCs/>
          <w:sz w:val="32"/>
          <w:szCs w:val="32"/>
          <w:lang w:eastAsia="zh-CN"/>
        </w:rPr>
        <w:t>单位</w:t>
      </w:r>
      <w:r>
        <w:rPr>
          <w:rFonts w:hint="eastAsia" w:ascii="楷体_GB2312" w:hAnsi="楷体_GB2312" w:eastAsia="楷体_GB2312" w:cs="楷体_GB2312"/>
          <w:b/>
          <w:bCs/>
          <w:sz w:val="32"/>
          <w:szCs w:val="32"/>
        </w:rPr>
        <w:t>决算中项目绩效自评结果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本单位在今年</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决算公开中反映医学鉴定费项目1个项目绩效自评结果。</w:t>
      </w:r>
    </w:p>
    <w:p>
      <w:pPr>
        <w:numPr>
          <w:ilvl w:val="0"/>
          <w:numId w:val="1"/>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学鉴定费项目自评综述：根据年初设定的绩效目标，医学鉴定费项目绩效自评得分为92分（绩效自评表附后）。全年预算数为10.5万元，执行数为2.62万元，完成预算的24.95%。项目绩效目标完成情况：完成13例医学鉴定，其中省级鉴定结果符合率为100%。发现的主要问题及原因：因疫情原因暂停医疗事故技术鉴定、职业病诊断鉴定工作，导致实际完成值有限。下一步改进措施：</w:t>
      </w:r>
      <w:r>
        <w:rPr>
          <w:rFonts w:hint="eastAsia" w:ascii="仿宋" w:hAnsi="仿宋" w:eastAsia="仿宋"/>
          <w:sz w:val="32"/>
          <w:szCs w:val="32"/>
        </w:rPr>
        <w:t>今后要进一步</w:t>
      </w:r>
      <w:r>
        <w:rPr>
          <w:rFonts w:hint="eastAsia" w:ascii="仿宋" w:hAnsi="仿宋" w:eastAsia="仿宋" w:cs="宋体"/>
          <w:kern w:val="0"/>
          <w:sz w:val="32"/>
          <w:szCs w:val="32"/>
          <w:lang w:val="zh-CN"/>
        </w:rPr>
        <w:t>健全制度、完善政策、改进管理、</w:t>
      </w:r>
      <w:r>
        <w:rPr>
          <w:rFonts w:hint="eastAsia" w:ascii="仿宋" w:hAnsi="仿宋" w:eastAsia="仿宋"/>
          <w:sz w:val="32"/>
          <w:szCs w:val="32"/>
        </w:rPr>
        <w:t>合理预算、合理安排资金支出</w:t>
      </w:r>
      <w:r>
        <w:rPr>
          <w:rFonts w:hint="eastAsia" w:ascii="仿宋" w:hAnsi="仿宋" w:eastAsia="仿宋" w:cs="宋体"/>
          <w:kern w:val="0"/>
          <w:sz w:val="32"/>
          <w:szCs w:val="32"/>
          <w:lang w:val="zh-CN"/>
        </w:rPr>
        <w:t>，与业务科室积极沟通，提高绩效目标质量</w:t>
      </w:r>
      <w:r>
        <w:rPr>
          <w:rFonts w:hint="eastAsia" w:ascii="仿宋" w:hAnsi="仿宋" w:eastAsia="仿宋"/>
          <w:sz w:val="32"/>
          <w:szCs w:val="32"/>
        </w:rPr>
        <w:t>。</w:t>
      </w:r>
    </w:p>
    <w:p>
      <w:pPr>
        <w:adjustRightInd w:val="0"/>
        <w:snapToGrid w:val="0"/>
        <w:spacing w:line="600" w:lineRule="exact"/>
        <w:rPr>
          <w:rFonts w:ascii="仿宋_GB2312" w:hAnsi="仿宋_GB2312" w:eastAsia="仿宋_GB2312" w:cs="仿宋_GB2312"/>
          <w:sz w:val="32"/>
          <w:szCs w:val="32"/>
        </w:rPr>
      </w:pPr>
    </w:p>
    <w:p>
      <w:pPr>
        <w:adjustRightInd w:val="0"/>
        <w:snapToGrid w:val="0"/>
        <w:spacing w:line="600" w:lineRule="exact"/>
        <w:rPr>
          <w:rFonts w:ascii="仿宋_GB2312" w:hAnsi="仿宋_GB2312" w:eastAsia="仿宋_GB2312" w:cs="仿宋_GB2312"/>
          <w:sz w:val="32"/>
          <w:szCs w:val="32"/>
        </w:rPr>
      </w:pPr>
    </w:p>
    <w:p>
      <w:pPr>
        <w:adjustRightInd w:val="0"/>
        <w:snapToGrid w:val="0"/>
        <w:spacing w:line="600" w:lineRule="exact"/>
        <w:rPr>
          <w:rFonts w:ascii="仿宋_GB2312" w:hAnsi="仿宋_GB2312" w:eastAsia="仿宋_GB2312" w:cs="仿宋_GB2312"/>
          <w:sz w:val="32"/>
          <w:szCs w:val="32"/>
        </w:rPr>
      </w:pPr>
    </w:p>
    <w:tbl>
      <w:tblPr>
        <w:tblStyle w:val="5"/>
        <w:tblW w:w="9600" w:type="dxa"/>
        <w:tblInd w:w="96" w:type="dxa"/>
        <w:tblLayout w:type="autofit"/>
        <w:tblCellMar>
          <w:top w:w="0" w:type="dxa"/>
          <w:left w:w="108" w:type="dxa"/>
          <w:bottom w:w="0" w:type="dxa"/>
          <w:right w:w="108" w:type="dxa"/>
        </w:tblCellMar>
      </w:tblPr>
      <w:tblGrid>
        <w:gridCol w:w="1656"/>
        <w:gridCol w:w="1458"/>
        <w:gridCol w:w="972"/>
        <w:gridCol w:w="838"/>
        <w:gridCol w:w="876"/>
        <w:gridCol w:w="972"/>
        <w:gridCol w:w="1161"/>
        <w:gridCol w:w="776"/>
        <w:gridCol w:w="891"/>
      </w:tblGrid>
      <w:tr>
        <w:tblPrEx>
          <w:tblCellMar>
            <w:top w:w="0" w:type="dxa"/>
            <w:left w:w="108" w:type="dxa"/>
            <w:bottom w:w="0" w:type="dxa"/>
            <w:right w:w="108" w:type="dxa"/>
          </w:tblCellMar>
        </w:tblPrEx>
        <w:trPr>
          <w:trHeight w:val="516" w:hRule="atLeast"/>
        </w:trPr>
        <w:tc>
          <w:tcPr>
            <w:tcW w:w="9600"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color w:val="000000"/>
                <w:sz w:val="40"/>
                <w:szCs w:val="40"/>
              </w:rPr>
            </w:pPr>
            <w:r>
              <w:rPr>
                <w:rFonts w:hint="eastAsia" w:ascii="黑体" w:hAnsi="宋体" w:eastAsia="黑体" w:cs="黑体"/>
                <w:color w:val="000000"/>
                <w:kern w:val="0"/>
                <w:sz w:val="40"/>
                <w:szCs w:val="40"/>
                <w:lang w:bidi="ar"/>
              </w:rPr>
              <w:t>2020年度市级项目支出绩效自评表</w:t>
            </w:r>
          </w:p>
        </w:tc>
      </w:tr>
      <w:tr>
        <w:tblPrEx>
          <w:tblCellMar>
            <w:top w:w="0" w:type="dxa"/>
            <w:left w:w="108" w:type="dxa"/>
            <w:bottom w:w="0" w:type="dxa"/>
            <w:right w:w="108" w:type="dxa"/>
          </w:tblCellMar>
        </w:tblPrEx>
        <w:trPr>
          <w:trHeight w:val="222"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填报单位（盖章）：</w:t>
            </w:r>
          </w:p>
        </w:tc>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color w:val="000000"/>
                <w:sz w:val="16"/>
                <w:szCs w:val="16"/>
                <w:lang w:val="en-US" w:eastAsia="zh-CN"/>
              </w:rPr>
            </w:pPr>
            <w:r>
              <w:rPr>
                <w:rFonts w:hint="eastAsia" w:ascii="宋体" w:hAnsi="宋体" w:eastAsia="宋体" w:cs="宋体"/>
                <w:color w:val="000000"/>
                <w:sz w:val="16"/>
                <w:szCs w:val="16"/>
                <w:lang w:val="en-US" w:eastAsia="zh-CN"/>
              </w:rPr>
              <w:t>秦皇岛市医学会</w:t>
            </w: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c>
          <w:tcPr>
            <w:tcW w:w="0" w:type="auto"/>
            <w:gridSpan w:val="2"/>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108" w:type="dxa"/>
            <w:bottom w:w="0" w:type="dxa"/>
            <w:right w:w="108" w:type="dxa"/>
          </w:tblCellMar>
        </w:tblPrEx>
        <w:trPr>
          <w:trHeight w:val="360" w:hRule="atLeast"/>
        </w:trPr>
        <w:tc>
          <w:tcPr>
            <w:tcW w:w="1094" w:type="dxa"/>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一、</w:t>
            </w:r>
            <w:r>
              <w:rPr>
                <w:rStyle w:val="9"/>
                <w:rFonts w:eastAsia="宋体"/>
                <w:lang w:bidi="ar"/>
              </w:rPr>
              <w:t xml:space="preserve"> </w:t>
            </w:r>
            <w:r>
              <w:rPr>
                <w:rStyle w:val="8"/>
                <w:rFonts w:hint="default"/>
                <w:lang w:bidi="ar"/>
              </w:rPr>
              <w:t>基本情况</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项目名称</w:t>
            </w:r>
          </w:p>
        </w:tc>
        <w:tc>
          <w:tcPr>
            <w:tcW w:w="704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医学鉴定费（专项资金）</w:t>
            </w:r>
          </w:p>
        </w:tc>
      </w:tr>
      <w:tr>
        <w:tblPrEx>
          <w:tblCellMar>
            <w:top w:w="0" w:type="dxa"/>
            <w:left w:w="108" w:type="dxa"/>
            <w:bottom w:w="0" w:type="dxa"/>
            <w:right w:w="108" w:type="dxa"/>
          </w:tblCellMar>
        </w:tblPrEx>
        <w:trPr>
          <w:trHeight w:val="360" w:hRule="atLeast"/>
        </w:trPr>
        <w:tc>
          <w:tcPr>
            <w:tcW w:w="1094" w:type="dxa"/>
            <w:tcBorders>
              <w:top w:val="single" w:color="000000" w:sz="4" w:space="0"/>
              <w:left w:val="single" w:color="000000" w:sz="4" w:space="0"/>
              <w:bottom w:val="nil"/>
              <w:right w:val="single" w:color="000000" w:sz="4" w:space="0"/>
            </w:tcBorders>
            <w:shd w:val="clear" w:color="auto" w:fill="auto"/>
            <w:vAlign w:val="center"/>
          </w:tcPr>
          <w:p>
            <w:pPr>
              <w:jc w:val="left"/>
              <w:rPr>
                <w:rFonts w:ascii="宋体" w:hAnsi="宋体" w:eastAsia="宋体" w:cs="宋体"/>
                <w:color w:val="000000"/>
                <w:sz w:val="16"/>
                <w:szCs w:val="16"/>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6"/>
                <w:szCs w:val="16"/>
                <w:lang w:eastAsia="zh-CN"/>
              </w:rPr>
            </w:pPr>
            <w:r>
              <w:rPr>
                <w:rFonts w:hint="eastAsia" w:ascii="宋体" w:hAnsi="宋体" w:eastAsia="宋体" w:cs="宋体"/>
                <w:color w:val="000000"/>
                <w:kern w:val="0"/>
                <w:sz w:val="16"/>
                <w:szCs w:val="16"/>
                <w:lang w:bidi="ar"/>
              </w:rPr>
              <w:t>主管</w:t>
            </w:r>
            <w:r>
              <w:rPr>
                <w:rFonts w:hint="eastAsia" w:ascii="宋体" w:hAnsi="宋体" w:eastAsia="宋体" w:cs="宋体"/>
                <w:color w:val="000000"/>
                <w:kern w:val="0"/>
                <w:sz w:val="16"/>
                <w:szCs w:val="16"/>
                <w:lang w:eastAsia="zh-CN" w:bidi="ar"/>
              </w:rPr>
              <w:t>单位</w:t>
            </w:r>
          </w:p>
        </w:tc>
        <w:tc>
          <w:tcPr>
            <w:tcW w:w="3308"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秦皇岛市卫生健康委员会</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实施单位</w:t>
            </w:r>
          </w:p>
        </w:tc>
        <w:tc>
          <w:tcPr>
            <w:tcW w:w="2768" w:type="dxa"/>
            <w:gridSpan w:val="3"/>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秦皇岛市医学会</w:t>
            </w:r>
          </w:p>
        </w:tc>
      </w:tr>
      <w:tr>
        <w:tblPrEx>
          <w:tblCellMar>
            <w:top w:w="0" w:type="dxa"/>
            <w:left w:w="108" w:type="dxa"/>
            <w:bottom w:w="0" w:type="dxa"/>
            <w:right w:w="108" w:type="dxa"/>
          </w:tblCellMar>
        </w:tblPrEx>
        <w:trPr>
          <w:trHeight w:val="288" w:hRule="atLeast"/>
        </w:trPr>
        <w:tc>
          <w:tcPr>
            <w:tcW w:w="1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二、预算执行情况</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年初预算数</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全年预算数</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全年执行数</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执行率（%）</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年度项目资金总额</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24.95</w:t>
            </w:r>
          </w:p>
        </w:tc>
      </w:tr>
      <w:tr>
        <w:tblPrEx>
          <w:tblCellMar>
            <w:top w:w="0" w:type="dxa"/>
            <w:left w:w="108" w:type="dxa"/>
            <w:bottom w:w="0" w:type="dxa"/>
            <w:right w:w="108" w:type="dxa"/>
          </w:tblCellMar>
        </w:tblPrEx>
        <w:trPr>
          <w:trHeight w:val="282"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其中：当年财政拨款</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24.95</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上年结转资金</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其他资金</w:t>
            </w:r>
          </w:p>
        </w:tc>
        <w:tc>
          <w:tcPr>
            <w:tcW w:w="20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2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16"/>
                <w:szCs w:val="16"/>
              </w:rPr>
            </w:pP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三、目标完成情况</w:t>
            </w:r>
          </w:p>
        </w:tc>
        <w:tc>
          <w:tcPr>
            <w:tcW w:w="35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年度预期目标</w:t>
            </w:r>
          </w:p>
        </w:tc>
        <w:tc>
          <w:tcPr>
            <w:tcW w:w="3348" w:type="dxa"/>
            <w:gridSpan w:val="3"/>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具体完成情况</w:t>
            </w:r>
          </w:p>
        </w:tc>
        <w:tc>
          <w:tcPr>
            <w:tcW w:w="1607"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总体完成率</w:t>
            </w:r>
          </w:p>
        </w:tc>
      </w:tr>
      <w:tr>
        <w:tblPrEx>
          <w:tblCellMar>
            <w:top w:w="0" w:type="dxa"/>
            <w:left w:w="108" w:type="dxa"/>
            <w:bottom w:w="0" w:type="dxa"/>
            <w:right w:w="108" w:type="dxa"/>
          </w:tblCellMar>
        </w:tblPrEx>
        <w:trPr>
          <w:trHeight w:val="762"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3551"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按照程序完成39例医学鉴定，提高省级鉴定结果符合率，调和申请鉴定双方关系</w:t>
            </w:r>
          </w:p>
        </w:tc>
        <w:tc>
          <w:tcPr>
            <w:tcW w:w="3348" w:type="dxa"/>
            <w:gridSpan w:val="3"/>
            <w:tcBorders>
              <w:top w:val="nil"/>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完成13例医学鉴定，其中省级鉴定结果符合率为100%</w:t>
            </w:r>
          </w:p>
        </w:tc>
        <w:tc>
          <w:tcPr>
            <w:tcW w:w="1607" w:type="dxa"/>
            <w:gridSpan w:val="2"/>
            <w:tcBorders>
              <w:top w:val="nil"/>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33.33%</w:t>
            </w:r>
          </w:p>
        </w:tc>
      </w:tr>
      <w:tr>
        <w:tblPrEx>
          <w:tblCellMar>
            <w:top w:w="0" w:type="dxa"/>
            <w:left w:w="108" w:type="dxa"/>
            <w:bottom w:w="0" w:type="dxa"/>
            <w:right w:w="108" w:type="dxa"/>
          </w:tblCellMar>
        </w:tblPrEx>
        <w:trPr>
          <w:trHeight w:val="270" w:hRule="atLeast"/>
        </w:trPr>
        <w:tc>
          <w:tcPr>
            <w:tcW w:w="1094"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四、年度绩效指标完成情况</w:t>
            </w:r>
          </w:p>
        </w:tc>
        <w:tc>
          <w:tcPr>
            <w:tcW w:w="1458"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一级指标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二级指标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三级指标</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预期指标值</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实际完成值</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分值</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自评得分</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产出指标（50）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数量指标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w:t>
            </w:r>
            <w:r>
              <w:rPr>
                <w:rStyle w:val="8"/>
                <w:rFonts w:hint="default"/>
                <w:lang w:bidi="ar"/>
              </w:rPr>
              <w:t>完成鉴定移交例数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39例</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17</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质量指标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１省级鉴定结果符合率</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时效指标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１按规定时间完成</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384"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成本指标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１专家劳务费标准</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300、500元/人次</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300、500元/人次</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２鉴定工作支出额</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≤10.5万元</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2.62万元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5</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效益指标（30）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经济效益指标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１鉴定收入</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13万元</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4.84万元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社会效益指标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１缓和申请鉴定双方关系的程度</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基本缓和</w:t>
            </w:r>
          </w:p>
        </w:tc>
        <w:tc>
          <w:tcPr>
            <w:tcW w:w="1161"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基本缓和</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生态效益指标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１</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可持续影响指标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１鉴定结果采用率</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≥60%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eastAsia="宋体" w:cs="宋体"/>
                <w:color w:val="000000"/>
                <w:sz w:val="16"/>
                <w:szCs w:val="16"/>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满意度指标（10）</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满意度指标</w:t>
            </w: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指标</w:t>
            </w:r>
            <w:r>
              <w:rPr>
                <w:rStyle w:val="9"/>
                <w:rFonts w:eastAsia="宋体"/>
                <w:lang w:bidi="ar"/>
              </w:rPr>
              <w:t xml:space="preserve"> </w:t>
            </w:r>
            <w:r>
              <w:rPr>
                <w:rStyle w:val="10"/>
                <w:lang w:bidi="ar"/>
              </w:rPr>
              <w:t>１申请省级重新鉴定的比率</w:t>
            </w:r>
          </w:p>
        </w:tc>
        <w:tc>
          <w:tcPr>
            <w:tcW w:w="972" w:type="dxa"/>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&lt;40%</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7.69%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Style w:val="8"/>
                <w:rFonts w:hint="default"/>
                <w:lang w:bidi="ar"/>
              </w:rPr>
              <w:t>指标</w:t>
            </w:r>
            <w:r>
              <w:rPr>
                <w:rStyle w:val="9"/>
                <w:rFonts w:eastAsia="宋体"/>
                <w:lang w:bidi="ar"/>
              </w:rPr>
              <w:t xml:space="preserve"> </w:t>
            </w:r>
            <w:r>
              <w:rPr>
                <w:rStyle w:val="10"/>
                <w:lang w:bidi="ar"/>
              </w:rPr>
              <w:t>２</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2336"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Calibri" w:hAnsi="Calibri" w:eastAsia="宋体" w:cs="Calibri"/>
                <w:color w:val="000000"/>
                <w:szCs w:val="21"/>
              </w:rPr>
            </w:pPr>
          </w:p>
        </w:tc>
        <w:tc>
          <w:tcPr>
            <w:tcW w:w="1161"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Calibri" w:hAnsi="Calibri" w:eastAsia="宋体" w:cs="Calibri"/>
                <w:color w:val="000000"/>
                <w:szCs w:val="21"/>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6"/>
                <w:szCs w:val="16"/>
              </w:rPr>
            </w:pPr>
          </w:p>
        </w:tc>
      </w:tr>
      <w:tr>
        <w:tblPrEx>
          <w:tblCellMar>
            <w:top w:w="0" w:type="dxa"/>
            <w:left w:w="108" w:type="dxa"/>
            <w:bottom w:w="0" w:type="dxa"/>
            <w:right w:w="108" w:type="dxa"/>
          </w:tblCellMar>
        </w:tblPrEx>
        <w:trPr>
          <w:trHeight w:val="495"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1458" w:type="dxa"/>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预算执行率（10）</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预算执行率</w:t>
            </w:r>
          </w:p>
        </w:tc>
        <w:tc>
          <w:tcPr>
            <w:tcW w:w="2336"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24.95%</w:t>
            </w:r>
          </w:p>
        </w:tc>
        <w:tc>
          <w:tcPr>
            <w:tcW w:w="97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100%</w:t>
            </w:r>
          </w:p>
        </w:tc>
        <w:tc>
          <w:tcPr>
            <w:tcW w:w="116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24.95%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10</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8</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7615"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总分（共计100分）</w:t>
            </w:r>
          </w:p>
        </w:tc>
        <w:tc>
          <w:tcPr>
            <w:tcW w:w="891"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92</w:t>
            </w:r>
          </w:p>
        </w:tc>
      </w:tr>
      <w:tr>
        <w:tblPrEx>
          <w:tblCellMar>
            <w:top w:w="0" w:type="dxa"/>
            <w:left w:w="108" w:type="dxa"/>
            <w:bottom w:w="0" w:type="dxa"/>
            <w:right w:w="108" w:type="dxa"/>
          </w:tblCellMar>
        </w:tblPrEx>
        <w:trPr>
          <w:trHeight w:val="288" w:hRule="atLeast"/>
        </w:trPr>
        <w:tc>
          <w:tcPr>
            <w:tcW w:w="1094"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16"/>
                <w:szCs w:val="16"/>
              </w:rPr>
            </w:pPr>
          </w:p>
        </w:tc>
        <w:tc>
          <w:tcPr>
            <w:tcW w:w="7615" w:type="dxa"/>
            <w:gridSpan w:val="7"/>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评价等级（优：90（含）-100分；良：80（含）-90分；中60（含）-80分；差：60分以下）</w:t>
            </w:r>
          </w:p>
        </w:tc>
        <w:tc>
          <w:tcPr>
            <w:tcW w:w="891" w:type="dxa"/>
            <w:tcBorders>
              <w:top w:val="nil"/>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优</w:t>
            </w:r>
          </w:p>
        </w:tc>
      </w:tr>
      <w:tr>
        <w:tblPrEx>
          <w:tblCellMar>
            <w:top w:w="0" w:type="dxa"/>
            <w:left w:w="108" w:type="dxa"/>
            <w:bottom w:w="0" w:type="dxa"/>
            <w:right w:w="108" w:type="dxa"/>
          </w:tblCellMar>
        </w:tblPrEx>
        <w:trPr>
          <w:trHeight w:val="660" w:hRule="atLeast"/>
        </w:trPr>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五、</w:t>
            </w:r>
            <w:r>
              <w:rPr>
                <w:rStyle w:val="9"/>
                <w:rFonts w:eastAsia="宋体"/>
                <w:lang w:bidi="ar"/>
              </w:rPr>
              <w:t xml:space="preserve"> </w:t>
            </w:r>
            <w:r>
              <w:rPr>
                <w:rStyle w:val="8"/>
                <w:rFonts w:hint="default"/>
                <w:lang w:bidi="ar"/>
              </w:rPr>
              <w:t>存在问题、原因及下一步整改措施</w:t>
            </w:r>
          </w:p>
        </w:tc>
        <w:tc>
          <w:tcPr>
            <w:tcW w:w="850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因疫情原因暂停医疗事故技术鉴定、职业病诊断鉴定工作，导致实际完成值有限。</w:t>
            </w:r>
          </w:p>
        </w:tc>
      </w:tr>
      <w:tr>
        <w:trPr>
          <w:trHeight w:val="288" w:hRule="atLeast"/>
        </w:trPr>
        <w:tc>
          <w:tcPr>
            <w:tcW w:w="0" w:type="auto"/>
            <w:gridSpan w:val="2"/>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评价组人员（姓名）：李锴钰</w:t>
            </w: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rPr>
                <w:rFonts w:ascii="宋体" w:hAnsi="宋体" w:eastAsia="宋体" w:cs="宋体"/>
                <w:color w:val="000000"/>
                <w:sz w:val="16"/>
                <w:szCs w:val="16"/>
              </w:rPr>
            </w:pP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联系电话：</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3646412</w:t>
            </w:r>
          </w:p>
        </w:tc>
        <w:tc>
          <w:tcPr>
            <w:tcW w:w="0" w:type="auto"/>
            <w:tcBorders>
              <w:top w:val="nil"/>
              <w:left w:val="nil"/>
              <w:bottom w:val="nil"/>
              <w:right w:val="nil"/>
            </w:tcBorders>
            <w:shd w:val="clear" w:color="auto" w:fill="auto"/>
            <w:noWrap/>
            <w:vAlign w:val="center"/>
          </w:tcPr>
          <w:p>
            <w:pPr>
              <w:jc w:val="center"/>
              <w:rPr>
                <w:rFonts w:ascii="宋体" w:hAnsi="宋体" w:eastAsia="宋体" w:cs="宋体"/>
                <w:color w:val="000000"/>
                <w:sz w:val="16"/>
                <w:szCs w:val="16"/>
              </w:rPr>
            </w:pPr>
          </w:p>
        </w:tc>
      </w:tr>
    </w:tbl>
    <w:p>
      <w:p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adjustRightInd w:val="0"/>
        <w:snapToGrid w:val="0"/>
        <w:spacing w:line="600" w:lineRule="exact"/>
        <w:ind w:firstLine="643" w:firstLineChars="200"/>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（三）财政评价项目绩效评价结果</w:t>
      </w:r>
    </w:p>
    <w:p>
      <w:pPr>
        <w:adjustRightInd w:val="0"/>
        <w:snapToGrid w:val="0"/>
        <w:spacing w:line="600" w:lineRule="exact"/>
        <w:ind w:firstLine="960" w:firstLineChars="300"/>
        <w:rPr>
          <w:rFonts w:ascii="仿宋" w:hAnsi="仿宋" w:eastAsia="仿宋" w:cs="宋体"/>
          <w:kern w:val="0"/>
          <w:sz w:val="32"/>
          <w:szCs w:val="32"/>
        </w:rPr>
      </w:pPr>
      <w:r>
        <w:rPr>
          <w:rFonts w:hint="eastAsia" w:ascii="仿宋" w:hAnsi="仿宋" w:eastAsia="仿宋" w:cs="宋体"/>
          <w:kern w:val="0"/>
          <w:sz w:val="32"/>
          <w:szCs w:val="32"/>
        </w:rPr>
        <w:t>无</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本单位2020年度机关运行经费支出0.00万元，与2019年度持平。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本单位2020年度无</w:t>
      </w:r>
      <w:r>
        <w:rPr>
          <w:rFonts w:hint="eastAsia" w:ascii="仿宋_GB2312" w:hAnsi="仿宋_GB2312" w:eastAsia="仿宋_GB2312" w:cs="仿宋_GB2312"/>
          <w:sz w:val="32"/>
          <w:szCs w:val="32"/>
          <w:lang w:val="en-US" w:eastAsia="zh-CN"/>
        </w:rPr>
        <w:t>货物支出、工程支出、服务支出、授予中小企业及小微企业等</w:t>
      </w:r>
      <w:r>
        <w:rPr>
          <w:rFonts w:hint="eastAsia" w:ascii="仿宋_GB2312" w:hAnsi="仿宋_GB2312" w:eastAsia="仿宋_GB2312" w:cs="仿宋_GB2312"/>
          <w:sz w:val="32"/>
          <w:szCs w:val="32"/>
        </w:rPr>
        <w:t>政府采购支出金额</w:t>
      </w:r>
      <w:r>
        <w:rPr>
          <w:rFonts w:ascii="仿宋_GB2312" w:hAnsi="仿宋_GB2312" w:eastAsia="仿宋_GB2312" w:cs="仿宋_GB2312"/>
          <w:sz w:val="32"/>
          <w:szCs w:val="32"/>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共有车辆0辆，与上年持平。</w:t>
      </w:r>
    </w:p>
    <w:p>
      <w:pPr>
        <w:adjustRightInd w:val="0"/>
        <w:snapToGrid w:val="0"/>
        <w:spacing w:line="60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单位价值50万元以上通用设备0台（套），与上年持平，单位价值100万元以上专用设备0台（套）与上年持平。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本单位2020年度未发生政府性基金预算、国有资金经营预算收支及结转结余情况，故政府性基金预算、国有资金经营预算等表以空表列示。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1312"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1312;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XbtHtgAAAALAQAADwAA&#10;AAAAAAABACAAAAAiAAAAZHJzL2Rvd25yZXYueG1sUEsBAhQAFAAAAAgAh07iQMGdnwmIAgAATAUA&#10;AA4AAAAAAAAAAQAgAAAAJwEAAGRycy9lMm9Eb2MueG1sUEsFBgAAAAAGAAYAWQEAACEGAAAAAA==&#10;">
                <v:fill type="pattern" on="t" color2="#FFFFFF [3212]" o:title="5%" focussize="0,0" r:id="rId14"/>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rPr>
          <w:rFonts w:ascii="仿宋_GB2312" w:hAnsi="宋体" w:eastAsia="仿宋_GB2312" w:cs="MS UI Gothic"/>
          <w:bCs/>
          <w:sz w:val="32"/>
          <w:szCs w:val="32"/>
          <w:highlight w:val="yellow"/>
        </w:rPr>
      </w:pP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w:t>
      </w:r>
      <w:r>
        <w:rPr>
          <w:rFonts w:hint="eastAsia" w:ascii="仿宋_GB2312" w:hAnsi="宋体" w:eastAsia="仿宋_GB2312" w:cs="Times New Roman"/>
          <w:color w:val="000000"/>
          <w:kern w:val="0"/>
          <w:sz w:val="32"/>
          <w:szCs w:val="32"/>
          <w:lang w:eastAsia="zh-CN"/>
        </w:rPr>
        <w:t>单位</w:t>
      </w:r>
      <w:r>
        <w:rPr>
          <w:rFonts w:hint="eastAsia" w:ascii="仿宋_GB2312" w:hAnsi="宋体" w:eastAsia="仿宋_GB2312" w:cs="Times New Roman"/>
          <w:color w:val="000000"/>
          <w:kern w:val="0"/>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11"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4"/>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w:t>
                      </w:r>
                      <w:r>
                        <w:rPr>
                          <w:rFonts w:hint="eastAsia" w:ascii="黑体" w:hAnsi="黑体" w:eastAsia="黑体" w:cs="黑体"/>
                          <w:color w:val="000000" w:themeColor="text1"/>
                          <w:sz w:val="90"/>
                          <w:szCs w:val="90"/>
                          <w:lang w:eastAsia="zh-CN"/>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单位</w:t>
                      </w: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决算报表</w:t>
                      </w:r>
                    </w:p>
                    <w:p/>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356" w:type="dxa"/>
            <w:shd w:val="clear" w:color="auto" w:fill="FFFFFF"/>
            <w:vAlign w:val="center"/>
          </w:tcPr>
          <w:p>
            <w:pPr>
              <w:jc w:val="left"/>
              <w:rPr>
                <w:rFonts w:ascii="宋体" w:hAnsi="宋体" w:eastAsia="宋体" w:cs="宋体"/>
                <w:color w:val="000000"/>
                <w:sz w:val="18"/>
                <w:szCs w:val="18"/>
              </w:rPr>
            </w:pPr>
          </w:p>
        </w:tc>
        <w:tc>
          <w:tcPr>
            <w:tcW w:w="432" w:type="dxa"/>
            <w:gridSpan w:val="2"/>
            <w:shd w:val="clear" w:color="auto" w:fill="FFFFFF"/>
            <w:vAlign w:val="center"/>
          </w:tcPr>
          <w:p>
            <w:pPr>
              <w:jc w:val="left"/>
              <w:rPr>
                <w:rFonts w:ascii="宋体" w:hAnsi="宋体" w:eastAsia="宋体" w:cs="宋体"/>
                <w:color w:val="000000"/>
                <w:sz w:val="18"/>
                <w:szCs w:val="18"/>
              </w:rPr>
            </w:pPr>
          </w:p>
        </w:tc>
        <w:tc>
          <w:tcPr>
            <w:tcW w:w="1763" w:type="dxa"/>
            <w:gridSpan w:val="2"/>
            <w:shd w:val="clear" w:color="auto" w:fill="FFFFFF"/>
            <w:vAlign w:val="center"/>
          </w:tcPr>
          <w:p>
            <w:pPr>
              <w:jc w:val="left"/>
              <w:rPr>
                <w:rFonts w:ascii="宋体" w:hAnsi="宋体" w:eastAsia="宋体" w:cs="宋体"/>
                <w:color w:val="000000"/>
                <w:sz w:val="18"/>
                <w:szCs w:val="18"/>
              </w:rPr>
            </w:pPr>
          </w:p>
        </w:tc>
        <w:tc>
          <w:tcPr>
            <w:tcW w:w="2665" w:type="dxa"/>
            <w:shd w:val="clear" w:color="auto" w:fill="FFFFFF"/>
            <w:vAlign w:val="center"/>
          </w:tcPr>
          <w:p>
            <w:pPr>
              <w:jc w:val="left"/>
              <w:rPr>
                <w:rFonts w:ascii="宋体" w:hAnsi="宋体" w:eastAsia="宋体" w:cs="宋体"/>
                <w:color w:val="000000"/>
                <w:sz w:val="18"/>
                <w:szCs w:val="18"/>
              </w:rPr>
            </w:pPr>
          </w:p>
        </w:tc>
        <w:tc>
          <w:tcPr>
            <w:tcW w:w="432" w:type="dxa"/>
            <w:shd w:val="clear" w:color="auto" w:fill="FFFFFF"/>
            <w:vAlign w:val="center"/>
          </w:tcPr>
          <w:p>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CellMar>
            <w:top w:w="15" w:type="dxa"/>
            <w:left w:w="15" w:type="dxa"/>
            <w:bottom w:w="15" w:type="dxa"/>
            <w:right w:w="15" w:type="dxa"/>
          </w:tblCellMar>
        </w:tblPrEx>
        <w:trPr>
          <w:trHeight w:val="227" w:hRule="atLeast"/>
        </w:trPr>
        <w:tc>
          <w:tcPr>
            <w:tcW w:w="4551" w:type="dxa"/>
            <w:gridSpan w:val="5"/>
            <w:tcBorders>
              <w:bottom w:val="single" w:color="808080" w:sz="4" w:space="0"/>
            </w:tcBorders>
            <w:shd w:val="clear" w:color="auto" w:fill="FFFFFF"/>
            <w:vAlign w:val="center"/>
          </w:tcPr>
          <w:p>
            <w:pPr>
              <w:jc w:val="left"/>
              <w:rPr>
                <w:rFonts w:ascii="宋体" w:hAnsi="宋体" w:eastAsia="宋体" w:cs="宋体"/>
                <w:color w:val="000000"/>
                <w:sz w:val="24"/>
              </w:rPr>
            </w:pPr>
            <w:r>
              <w:rPr>
                <w:rFonts w:hint="eastAsia" w:ascii="宋体" w:hAnsi="宋体" w:eastAsia="宋体" w:cs="宋体"/>
                <w:color w:val="000000"/>
                <w:kern w:val="0"/>
                <w:sz w:val="22"/>
                <w:szCs w:val="22"/>
                <w:lang w:bidi="ar"/>
              </w:rPr>
              <w:t>编制</w:t>
            </w:r>
            <w:r>
              <w:rPr>
                <w:rFonts w:ascii="宋体" w:hAnsi="宋体" w:eastAsia="宋体" w:cs="宋体"/>
                <w:color w:val="000000"/>
                <w:kern w:val="0"/>
                <w:sz w:val="22"/>
                <w:szCs w:val="22"/>
                <w:lang w:bidi="ar"/>
              </w:rPr>
              <w:t>单位</w:t>
            </w:r>
            <w:r>
              <w:rPr>
                <w:rFonts w:hint="eastAsia" w:ascii="宋体" w:hAnsi="宋体" w:eastAsia="宋体" w:cs="宋体"/>
                <w:color w:val="000000"/>
                <w:kern w:val="0"/>
                <w:sz w:val="22"/>
                <w:szCs w:val="22"/>
                <w:lang w:bidi="ar"/>
              </w:rPr>
              <w:t>：秦皇岛市医学会</w:t>
            </w:r>
          </w:p>
        </w:tc>
        <w:tc>
          <w:tcPr>
            <w:tcW w:w="2665"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432"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85.64</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10.41</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72.75</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vAlign w:val="center"/>
          </w:tcPr>
          <w:p>
            <w:pPr>
              <w:tabs>
                <w:tab w:val="center" w:pos="787"/>
                <w:tab w:val="right" w:pos="1694"/>
              </w:tabs>
              <w:jc w:val="left"/>
              <w:rPr>
                <w:rFonts w:ascii="宋体" w:hAnsi="宋体" w:eastAsia="宋体" w:cs="宋体"/>
                <w:color w:val="000000"/>
                <w:sz w:val="15"/>
                <w:szCs w:val="16"/>
              </w:rPr>
            </w:pPr>
            <w:r>
              <w:rPr>
                <w:rFonts w:hint="eastAsia" w:ascii="宋体" w:hAnsi="宋体" w:eastAsia="宋体" w:cs="宋体"/>
                <w:color w:val="000000"/>
                <w:sz w:val="15"/>
                <w:szCs w:val="16"/>
              </w:rPr>
              <w:tab/>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3.90</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85.64</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87.06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1.42</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87.06</w:t>
            </w:r>
          </w:p>
        </w:tc>
        <w:tc>
          <w:tcPr>
            <w:tcW w:w="2665" w:type="dxa"/>
            <w:tcBorders>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hint="eastAsia" w:ascii="宋体" w:hAnsi="宋体" w:eastAsia="宋体" w:cs="宋体"/>
                <w:color w:val="000000"/>
                <w:sz w:val="15"/>
                <w:szCs w:val="16"/>
              </w:rPr>
              <w:t>87.06</w:t>
            </w:r>
          </w:p>
        </w:tc>
      </w:tr>
      <w:tr>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w:t>
            </w:r>
            <w:r>
              <w:rPr>
                <w:rFonts w:hint="eastAsia" w:ascii="宋体" w:hAnsi="宋体" w:eastAsia="宋体" w:cs="宋体"/>
                <w:color w:val="000000"/>
                <w:kern w:val="0"/>
                <w:sz w:val="15"/>
                <w:szCs w:val="16"/>
                <w:lang w:eastAsia="zh-CN" w:bidi="ar"/>
              </w:rPr>
              <w:t>单位</w:t>
            </w:r>
            <w:r>
              <w:rPr>
                <w:rFonts w:hint="eastAsia" w:ascii="宋体" w:hAnsi="宋体" w:eastAsia="宋体" w:cs="宋体"/>
                <w:color w:val="000000"/>
                <w:kern w:val="0"/>
                <w:sz w:val="15"/>
                <w:szCs w:val="16"/>
                <w:lang w:bidi="ar"/>
              </w:rPr>
              <w:t>（或单位）本年度的总收支和年末结转结余情况。本套报表金额单位转换时可能存在尾数误差。</w:t>
            </w:r>
          </w:p>
        </w:tc>
      </w:tr>
    </w:tbl>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9731" w:type="dxa"/>
        <w:jc w:val="center"/>
        <w:tblLayout w:type="fixed"/>
        <w:tblCellMar>
          <w:top w:w="0" w:type="dxa"/>
          <w:left w:w="0" w:type="dxa"/>
          <w:bottom w:w="0" w:type="dxa"/>
          <w:right w:w="0" w:type="dxa"/>
        </w:tblCellMar>
      </w:tblPr>
      <w:tblGrid>
        <w:gridCol w:w="1183"/>
        <w:gridCol w:w="59"/>
        <w:gridCol w:w="59"/>
        <w:gridCol w:w="1869"/>
        <w:gridCol w:w="800"/>
        <w:gridCol w:w="711"/>
        <w:gridCol w:w="1009"/>
        <w:gridCol w:w="1009"/>
        <w:gridCol w:w="1009"/>
        <w:gridCol w:w="1009"/>
        <w:gridCol w:w="1014"/>
      </w:tblGrid>
      <w:tr>
        <w:tblPrEx>
          <w:tblCellMar>
            <w:top w:w="0" w:type="dxa"/>
            <w:left w:w="0" w:type="dxa"/>
            <w:bottom w:w="0" w:type="dxa"/>
            <w:right w:w="0" w:type="dxa"/>
          </w:tblCellMar>
        </w:tblPrEx>
        <w:trPr>
          <w:trHeight w:val="670" w:hRule="atLeast"/>
          <w:jc w:val="center"/>
        </w:trPr>
        <w:tc>
          <w:tcPr>
            <w:tcW w:w="9731"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11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86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8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3170"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80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317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8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7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30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8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7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3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30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31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3170"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18"/>
                <w:szCs w:val="18"/>
              </w:rPr>
            </w:pPr>
            <w:r>
              <w:rPr>
                <w:rFonts w:hint="eastAsia" w:ascii="宋体" w:hAnsi="宋体" w:eastAsia="宋体" w:cs="宋体"/>
                <w:b/>
                <w:bCs/>
                <w:color w:val="000000"/>
                <w:sz w:val="18"/>
                <w:szCs w:val="18"/>
              </w:rPr>
              <w:t>85.64</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bCs/>
                <w:color w:val="000000"/>
                <w:sz w:val="18"/>
                <w:szCs w:val="18"/>
              </w:rPr>
            </w:pPr>
            <w:r>
              <w:rPr>
                <w:rFonts w:hint="eastAsia" w:ascii="宋体" w:hAnsi="宋体" w:eastAsia="宋体" w:cs="宋体"/>
                <w:b/>
                <w:bCs/>
                <w:color w:val="000000"/>
                <w:sz w:val="18"/>
                <w:szCs w:val="18"/>
              </w:rPr>
              <w:t>85.64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社会保障和就就业支出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10.28</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10.28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529"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行政事业单位养老支出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10.28</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10.28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208502</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事业单位离退休</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5.13</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208505</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71.46</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71.46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63.75</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63.75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2109901</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63.75</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63.75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1301"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2210201</w:t>
            </w:r>
          </w:p>
        </w:tc>
        <w:tc>
          <w:tcPr>
            <w:tcW w:w="18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7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9731"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sz w:val="18"/>
                <w:szCs w:val="18"/>
              </w:rPr>
              <w:t>注：本表反映</w:t>
            </w:r>
            <w:r>
              <w:rPr>
                <w:rFonts w:hint="eastAsia" w:ascii="宋体" w:hAnsi="宋体" w:eastAsia="宋体" w:cs="宋体"/>
                <w:color w:val="000000"/>
                <w:sz w:val="18"/>
                <w:szCs w:val="18"/>
                <w:lang w:eastAsia="zh-CN"/>
              </w:rPr>
              <w:t>单位</w:t>
            </w:r>
            <w:r>
              <w:rPr>
                <w:rFonts w:hint="eastAsia" w:ascii="宋体" w:hAnsi="宋体" w:eastAsia="宋体" w:cs="宋体"/>
                <w:color w:val="000000"/>
                <w:sz w:val="18"/>
                <w:szCs w:val="18"/>
              </w:rPr>
              <w:t>本年度取得的各项收入情况。</w:t>
            </w:r>
          </w:p>
        </w:tc>
      </w:tr>
    </w:tbl>
    <w:p>
      <w:pPr>
        <w:jc w:val="left"/>
      </w:pPr>
    </w:p>
    <w:p>
      <w:r>
        <w:br w:type="page"/>
      </w:r>
    </w:p>
    <w:tbl>
      <w:tblPr>
        <w:tblStyle w:val="5"/>
        <w:tblW w:w="9680" w:type="dxa"/>
        <w:jc w:val="center"/>
        <w:tblLayout w:type="fixed"/>
        <w:tblCellMar>
          <w:top w:w="0" w:type="dxa"/>
          <w:left w:w="0" w:type="dxa"/>
          <w:bottom w:w="0" w:type="dxa"/>
          <w:right w:w="0" w:type="dxa"/>
        </w:tblCellMar>
      </w:tblPr>
      <w:tblGrid>
        <w:gridCol w:w="941"/>
        <w:gridCol w:w="53"/>
        <w:gridCol w:w="111"/>
        <w:gridCol w:w="1883"/>
        <w:gridCol w:w="637"/>
        <w:gridCol w:w="1161"/>
        <w:gridCol w:w="1161"/>
        <w:gridCol w:w="1161"/>
        <w:gridCol w:w="1161"/>
        <w:gridCol w:w="1411"/>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88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411" w:type="dxa"/>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trHeight w:val="313" w:hRule="atLeast"/>
          <w:jc w:val="center"/>
        </w:trPr>
        <w:tc>
          <w:tcPr>
            <w:tcW w:w="2988"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63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572"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23" w:hRule="atLeast"/>
          <w:jc w:val="center"/>
        </w:trPr>
        <w:tc>
          <w:tcPr>
            <w:tcW w:w="298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8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6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29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trHeight w:val="323" w:hRule="atLeast"/>
          <w:jc w:val="center"/>
        </w:trPr>
        <w:tc>
          <w:tcPr>
            <w:tcW w:w="298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87.06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83.47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3.59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行政事业单位养老支出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2080502</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事业单位离退休</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72.75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69.15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61.45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2109901</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61.45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48"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2210201</w:t>
            </w:r>
          </w:p>
        </w:tc>
        <w:tc>
          <w:tcPr>
            <w:tcW w:w="18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63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w:t>
            </w:r>
            <w:r>
              <w:rPr>
                <w:rFonts w:hint="eastAsia" w:ascii="宋体" w:hAnsi="宋体" w:eastAsia="宋体" w:cs="宋体"/>
                <w:color w:val="000000"/>
                <w:kern w:val="0"/>
                <w:sz w:val="18"/>
                <w:szCs w:val="18"/>
                <w:lang w:eastAsia="zh-CN" w:bidi="ar"/>
              </w:rPr>
              <w:t>单位</w:t>
            </w:r>
            <w:r>
              <w:rPr>
                <w:rFonts w:hint="eastAsia" w:ascii="宋体" w:hAnsi="宋体" w:eastAsia="宋体" w:cs="宋体"/>
                <w:color w:val="000000"/>
                <w:kern w:val="0"/>
                <w:sz w:val="18"/>
                <w:szCs w:val="18"/>
                <w:lang w:bidi="ar"/>
              </w:rPr>
              <w:t>本年度各项支出情况。</w:t>
            </w:r>
          </w:p>
        </w:tc>
      </w:tr>
    </w:tbl>
    <w:p>
      <w:r>
        <w:br w:type="page"/>
      </w:r>
    </w:p>
    <w:tbl>
      <w:tblPr>
        <w:tblStyle w:val="5"/>
        <w:tblW w:w="9990" w:type="dxa"/>
        <w:jc w:val="center"/>
        <w:tblLayout w:type="fixed"/>
        <w:tblCellMar>
          <w:top w:w="0" w:type="dxa"/>
          <w:left w:w="0" w:type="dxa"/>
          <w:bottom w:w="0" w:type="dxa"/>
          <w:right w:w="0" w:type="dxa"/>
        </w:tblCellMar>
      </w:tblPr>
      <w:tblGrid>
        <w:gridCol w:w="1174"/>
        <w:gridCol w:w="67"/>
        <w:gridCol w:w="67"/>
        <w:gridCol w:w="1895"/>
        <w:gridCol w:w="2129"/>
        <w:gridCol w:w="2329"/>
        <w:gridCol w:w="1859"/>
        <w:gridCol w:w="470"/>
      </w:tblGrid>
      <w:tr>
        <w:tblPrEx>
          <w:tblCellMar>
            <w:top w:w="0" w:type="dxa"/>
            <w:left w:w="0" w:type="dxa"/>
            <w:bottom w:w="0" w:type="dxa"/>
            <w:right w:w="0" w:type="dxa"/>
          </w:tblCellMar>
        </w:tblPrEx>
        <w:trPr>
          <w:gridAfter w:val="1"/>
          <w:wAfter w:w="470" w:type="dxa"/>
          <w:trHeight w:val="406" w:hRule="atLeast"/>
          <w:jc w:val="center"/>
        </w:trPr>
        <w:tc>
          <w:tcPr>
            <w:tcW w:w="9520" w:type="dxa"/>
            <w:gridSpan w:val="7"/>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8"/>
            <w:tcBorders>
              <w:top w:val="nil"/>
              <w:left w:val="nil"/>
              <w:bottom w:val="nil"/>
              <w:right w:val="nil"/>
            </w:tcBorders>
            <w:shd w:val="clear" w:color="auto" w:fill="auto"/>
            <w:tcMar>
              <w:top w:w="15" w:type="dxa"/>
              <w:left w:w="15" w:type="dxa"/>
              <w:right w:w="15" w:type="dxa"/>
            </w:tcMar>
            <w:vAlign w:val="center"/>
          </w:tcPr>
          <w:tbl>
            <w:tblPr>
              <w:tblStyle w:val="5"/>
              <w:tblW w:w="9736" w:type="dxa"/>
              <w:tblInd w:w="0" w:type="dxa"/>
              <w:tblLayout w:type="fixed"/>
              <w:tblCellMar>
                <w:top w:w="0" w:type="dxa"/>
                <w:left w:w="108" w:type="dxa"/>
                <w:bottom w:w="0" w:type="dxa"/>
                <w:right w:w="108" w:type="dxa"/>
              </w:tblCellMar>
            </w:tblPr>
            <w:tblGrid>
              <w:gridCol w:w="2317"/>
              <w:gridCol w:w="465"/>
              <w:gridCol w:w="748"/>
              <w:gridCol w:w="2456"/>
              <w:gridCol w:w="446"/>
              <w:gridCol w:w="638"/>
              <w:gridCol w:w="711"/>
              <w:gridCol w:w="850"/>
              <w:gridCol w:w="853"/>
              <w:gridCol w:w="252"/>
            </w:tblGrid>
            <w:tr>
              <w:tblPrEx>
                <w:tblCellMar>
                  <w:top w:w="0" w:type="dxa"/>
                  <w:left w:w="108" w:type="dxa"/>
                  <w:bottom w:w="0" w:type="dxa"/>
                  <w:right w:w="108" w:type="dxa"/>
                </w:tblCellMar>
              </w:tblPrEx>
              <w:trPr>
                <w:gridAfter w:val="1"/>
                <w:wAfter w:w="2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3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14"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63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11"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703"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1"/>
                <w:wAfter w:w="2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1"/>
                <w:wAfter w:w="2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63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11"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850"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blPrEx>
                <w:tblCellMar>
                  <w:top w:w="0" w:type="dxa"/>
                  <w:left w:w="108" w:type="dxa"/>
                  <w:bottom w:w="0" w:type="dxa"/>
                  <w:right w:w="108" w:type="dxa"/>
                </w:tblCellMar>
              </w:tblPrEx>
              <w:trPr>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63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11"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50"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85.64</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tabs>
                      <w:tab w:val="center" w:pos="318"/>
                      <w:tab w:val="right" w:pos="757"/>
                    </w:tabs>
                    <w:spacing w:line="200" w:lineRule="exact"/>
                    <w:jc w:val="left"/>
                    <w:rPr>
                      <w:rFonts w:ascii="Times New Roman" w:hAnsi="Times New Roman" w:eastAsia="Times New Roman" w:cs="Times New Roman"/>
                      <w:kern w:val="0"/>
                      <w:sz w:val="15"/>
                      <w:szCs w:val="15"/>
                    </w:rPr>
                  </w:pPr>
                  <w:r>
                    <w:rPr>
                      <w:rFonts w:hint="eastAsia" w:ascii="宋体" w:hAnsi="宋体" w:eastAsia="宋体" w:cs="宋体"/>
                      <w:color w:val="000000"/>
                      <w:sz w:val="18"/>
                      <w:szCs w:val="18"/>
                    </w:rPr>
                    <w:tab/>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宋体"/>
                      <w:color w:val="000000"/>
                      <w:sz w:val="18"/>
                      <w:szCs w:val="18"/>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10.41</w:t>
                  </w: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10.41</w:t>
                  </w: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72.75</w:t>
                  </w: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72.72</w:t>
                  </w: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312"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85.64</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87.06</w:t>
                  </w: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87.06</w:t>
                  </w: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1.42</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1.42</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rPr>
                      <w:rFonts w:ascii="宋体" w:hAnsi="宋体" w:eastAsia="宋体" w:cs="Arial"/>
                      <w:color w:val="000000"/>
                      <w:kern w:val="0"/>
                      <w:sz w:val="15"/>
                      <w:szCs w:val="15"/>
                    </w:rPr>
                  </w:pP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87.06</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63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87.06</w:t>
                  </w:r>
                </w:p>
              </w:tc>
              <w:tc>
                <w:tcPr>
                  <w:tcW w:w="711"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宋体" w:cs="Times New Roman"/>
                      <w:kern w:val="0"/>
                      <w:sz w:val="15"/>
                      <w:szCs w:val="15"/>
                    </w:rPr>
                  </w:pPr>
                  <w:r>
                    <w:rPr>
                      <w:rFonts w:hint="eastAsia" w:ascii="Times New Roman" w:hAnsi="Times New Roman" w:eastAsia="宋体" w:cs="Times New Roman"/>
                      <w:kern w:val="0"/>
                      <w:sz w:val="15"/>
                      <w:szCs w:val="15"/>
                    </w:rPr>
                    <w:t>87.06</w:t>
                  </w:r>
                </w:p>
              </w:tc>
              <w:tc>
                <w:tcPr>
                  <w:tcW w:w="850"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w:t>
                  </w:r>
                  <w:r>
                    <w:rPr>
                      <w:rFonts w:hint="eastAsia" w:ascii="宋体" w:hAnsi="宋体" w:eastAsia="宋体" w:cs="Arial"/>
                      <w:color w:val="000000"/>
                      <w:kern w:val="0"/>
                      <w:sz w:val="15"/>
                      <w:szCs w:val="15"/>
                      <w:lang w:eastAsia="zh-CN"/>
                    </w:rPr>
                    <w:t>单位</w:t>
                  </w:r>
                  <w:r>
                    <w:rPr>
                      <w:rFonts w:hint="eastAsia" w:ascii="宋体" w:hAnsi="宋体" w:eastAsia="宋体" w:cs="Arial"/>
                      <w:color w:val="000000"/>
                      <w:kern w:val="0"/>
                      <w:sz w:val="15"/>
                      <w:szCs w:val="15"/>
                    </w:rPr>
                    <w:t>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trHeight w:val="90" w:hRule="atLeast"/>
              </w:trPr>
              <w:tc>
                <w:tcPr>
                  <w:tcW w:w="9484"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89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12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5332"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4658"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20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787"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8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1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8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1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2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203"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Cs/>
                <w:color w:val="000000"/>
                <w:sz w:val="18"/>
                <w:szCs w:val="18"/>
              </w:rPr>
            </w:pPr>
            <w:r>
              <w:rPr>
                <w:rFonts w:hint="eastAsia" w:ascii="宋体" w:hAnsi="宋体" w:eastAsia="宋体" w:cs="宋体"/>
                <w:b/>
                <w:color w:val="000000"/>
                <w:sz w:val="18"/>
                <w:szCs w:val="18"/>
              </w:rPr>
              <w:t>87.06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83.47</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hint="eastAsia" w:ascii="宋体" w:hAnsi="宋体" w:eastAsia="宋体" w:cs="宋体"/>
                <w:b/>
                <w:color w:val="000000"/>
                <w:sz w:val="18"/>
                <w:szCs w:val="18"/>
              </w:rPr>
              <w:t>3.59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社会保障和就业支出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行政事业单位养老支出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10.41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2080502</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事业单位离退休</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5.26</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5.26</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2080505</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机关事业单位基本养老保险缴费支出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5.15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卫生健康支出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72.75</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69.15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行政事业单位医疗支出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2101102</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事业单位医疗</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7.71</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61.45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2109901</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其他卫生健康支出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65.04</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61.45</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3.59</w:t>
            </w: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住房保障支出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住房改革支出</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2210201</w:t>
            </w:r>
          </w:p>
        </w:tc>
        <w:tc>
          <w:tcPr>
            <w:tcW w:w="18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18"/>
                <w:szCs w:val="18"/>
              </w:rPr>
            </w:pPr>
            <w:r>
              <w:rPr>
                <w:rFonts w:hint="eastAsia" w:ascii="宋体" w:hAnsi="宋体" w:eastAsia="宋体" w:cs="宋体"/>
                <w:color w:val="000000"/>
                <w:sz w:val="18"/>
                <w:szCs w:val="18"/>
              </w:rPr>
              <w:t>住房公积金</w:t>
            </w:r>
          </w:p>
        </w:tc>
        <w:tc>
          <w:tcPr>
            <w:tcW w:w="21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3.90</w:t>
            </w:r>
          </w:p>
        </w:tc>
        <w:tc>
          <w:tcPr>
            <w:tcW w:w="232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bl>
    <w:p>
      <w:r>
        <w:br w:type="page"/>
      </w:r>
    </w:p>
    <w:p>
      <w:pPr>
        <w:widowControl/>
        <w:jc w:val="center"/>
        <w:textAlignment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5045"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76.02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2.41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19.34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1.02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4.11</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12.96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13.23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0.05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5.15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0.15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35"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2.56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5.15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3.90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35"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9.41</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5.04</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3.95</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05"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0.58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0.82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0.11</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235"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center"/>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0.22</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81.06</w:t>
            </w: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r>
              <w:rPr>
                <w:rFonts w:hint="eastAsia" w:ascii="宋体" w:hAnsi="宋体" w:eastAsia="宋体" w:cs="宋体"/>
                <w:color w:val="000000"/>
                <w:sz w:val="16"/>
                <w:szCs w:val="16"/>
              </w:rPr>
              <w:t>2.41</w:t>
            </w:r>
          </w:p>
        </w:tc>
      </w:tr>
    </w:tbl>
    <w:p>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4518"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tabs>
                <w:tab w:val="left" w:pos="493"/>
              </w:tabs>
              <w:jc w:val="left"/>
              <w:rPr>
                <w:rFonts w:ascii="宋体" w:hAnsi="宋体" w:eastAsia="宋体" w:cs="宋体"/>
                <w:color w:val="000000"/>
                <w:szCs w:val="22"/>
              </w:rPr>
            </w:pPr>
            <w:r>
              <w:rPr>
                <w:rFonts w:hint="eastAsia" w:ascii="宋体" w:hAnsi="宋体" w:eastAsia="宋体" w:cs="宋体"/>
                <w:color w:val="000000"/>
                <w:szCs w:val="22"/>
              </w:rPr>
              <w:tab/>
            </w:r>
            <w:r>
              <w:rPr>
                <w:rFonts w:hint="eastAsia" w:ascii="宋体" w:hAnsi="宋体" w:eastAsia="宋体" w:cs="宋体"/>
                <w:color w:val="000000"/>
                <w:szCs w:val="22"/>
              </w:rPr>
              <w:t>0.03</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r>
              <w:rPr>
                <w:rFonts w:hint="eastAsia" w:ascii="宋体" w:hAnsi="宋体" w:eastAsia="宋体" w:cs="宋体"/>
                <w:color w:val="000000"/>
                <w:szCs w:val="22"/>
              </w:rPr>
              <w:t>0.03</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w:t>
      </w:r>
      <w:r>
        <w:rPr>
          <w:rFonts w:hint="eastAsia" w:ascii="宋体" w:hAnsi="宋体" w:eastAsia="宋体" w:cs="宋体"/>
          <w:sz w:val="20"/>
          <w:szCs w:val="22"/>
          <w:lang w:eastAsia="zh-CN"/>
        </w:rPr>
        <w:t>单位</w:t>
      </w:r>
      <w:r>
        <w:rPr>
          <w:rFonts w:hint="eastAsia" w:ascii="宋体" w:hAnsi="宋体" w:eastAsia="宋体" w:cs="宋体"/>
          <w:sz w:val="20"/>
          <w:szCs w:val="22"/>
        </w:rPr>
        <w:t>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4834" w:type="dxa"/>
            <w:gridSpan w:val="6"/>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b/>
          <w:sz w:val="20"/>
          <w:szCs w:val="22"/>
          <w:highlight w:val="yellow"/>
        </w:rPr>
      </w:pPr>
      <w:r>
        <w:rPr>
          <w:rFonts w:hint="eastAsia" w:ascii="宋体" w:hAnsi="宋体" w:eastAsia="宋体" w:cs="宋体"/>
          <w:sz w:val="20"/>
          <w:szCs w:val="22"/>
        </w:rPr>
        <w:t>注：本单位本年度无政府性基金预算财政拨款收入、支出及结转结余情况，</w:t>
      </w:r>
      <w:r>
        <w:rPr>
          <w:rFonts w:ascii="宋体" w:hAnsi="宋体" w:eastAsia="宋体" w:cs="宋体"/>
          <w:sz w:val="20"/>
          <w:szCs w:val="22"/>
        </w:rPr>
        <w:t>按要求空表列示</w:t>
      </w:r>
      <w:r>
        <w:rPr>
          <w:rFonts w:hint="eastAsia" w:ascii="宋体" w:hAnsi="宋体" w:eastAsia="宋体" w:cs="宋体"/>
          <w:sz w:val="20"/>
          <w:szCs w:val="22"/>
        </w:rPr>
        <w:t>。</w:t>
      </w:r>
      <w:r>
        <w:rPr>
          <w:b/>
          <w:sz w:val="20"/>
          <w:szCs w:val="22"/>
          <w:highlight w:val="yellow"/>
        </w:rPr>
        <w:br w:type="page"/>
      </w:r>
    </w:p>
    <w:tbl>
      <w:tblPr>
        <w:tblStyle w:val="5"/>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pPr>
              <w:widowControl/>
              <w:ind w:firstLine="1800" w:firstLineChars="900"/>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公开09表</w:t>
            </w:r>
          </w:p>
          <w:p>
            <w:pPr>
              <w:ind w:right="400" w:firstLine="1300" w:firstLineChars="650"/>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250" w:hRule="atLeast"/>
        </w:trPr>
        <w:tc>
          <w:tcPr>
            <w:tcW w:w="5386" w:type="dxa"/>
            <w:gridSpan w:val="5"/>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20"/>
                <w:szCs w:val="20"/>
              </w:rPr>
            </w:pPr>
            <w:r>
              <w:rPr>
                <w:rFonts w:hint="eastAsia" w:ascii="宋体" w:hAnsi="宋体" w:eastAsia="宋体" w:cs="宋体"/>
                <w:color w:val="000000"/>
                <w:kern w:val="0"/>
                <w:sz w:val="20"/>
                <w:szCs w:val="20"/>
                <w:lang w:bidi="ar"/>
              </w:rPr>
              <w:t>编制</w:t>
            </w:r>
            <w:r>
              <w:rPr>
                <w:rFonts w:ascii="宋体" w:hAnsi="宋体" w:eastAsia="宋体" w:cs="宋体"/>
                <w:color w:val="000000"/>
                <w:kern w:val="0"/>
                <w:sz w:val="20"/>
                <w:szCs w:val="20"/>
                <w:lang w:bidi="ar"/>
              </w:rPr>
              <w:t>单位</w:t>
            </w:r>
            <w:r>
              <w:rPr>
                <w:rFonts w:hint="eastAsia" w:ascii="宋体" w:hAnsi="宋体" w:eastAsia="宋体" w:cs="宋体"/>
                <w:color w:val="000000"/>
                <w:kern w:val="0"/>
                <w:sz w:val="20"/>
                <w:szCs w:val="20"/>
                <w:lang w:bidi="ar"/>
              </w:rPr>
              <w:t>：秦皇岛市医学会</w:t>
            </w: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highlight w:val="yellow"/>
        </w:rPr>
      </w:pPr>
      <w:r>
        <w:rPr>
          <w:rFonts w:hint="eastAsia" w:ascii="宋体" w:hAnsi="宋体" w:eastAsia="宋体" w:cs="宋体"/>
        </w:rPr>
        <w:t>注：本单位本年度无国有资本经营预算财政拨款支出情况，</w:t>
      </w:r>
      <w:r>
        <w:rPr>
          <w:rFonts w:ascii="宋体" w:hAnsi="宋体" w:eastAsia="宋体" w:cs="宋体"/>
        </w:rPr>
        <w:t>按要求空表列示</w:t>
      </w:r>
      <w:r>
        <w:rPr>
          <w:rFonts w:hint="eastAsia" w:ascii="宋体" w:hAnsi="宋体" w:eastAsia="宋体" w:cs="宋体"/>
        </w:rPr>
        <w:t>。</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MS UI 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222FFA"/>
    <w:multiLevelType w:val="singleLevel"/>
    <w:tmpl w:val="5F222F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4NzQyMTYzZGFlNGNiNGRmZGEyYzU1YmQ5NDMyNGMifQ=="/>
  </w:docVars>
  <w:rsids>
    <w:rsidRoot w:val="34C45458"/>
    <w:rsid w:val="00061A05"/>
    <w:rsid w:val="00061B93"/>
    <w:rsid w:val="00147453"/>
    <w:rsid w:val="0018668E"/>
    <w:rsid w:val="001B73D2"/>
    <w:rsid w:val="001E62BF"/>
    <w:rsid w:val="00293E7B"/>
    <w:rsid w:val="002D1852"/>
    <w:rsid w:val="002D1F4F"/>
    <w:rsid w:val="00303A3D"/>
    <w:rsid w:val="00310EBF"/>
    <w:rsid w:val="00366D90"/>
    <w:rsid w:val="003D2226"/>
    <w:rsid w:val="003D678E"/>
    <w:rsid w:val="00461FAF"/>
    <w:rsid w:val="0049315C"/>
    <w:rsid w:val="004D1EA2"/>
    <w:rsid w:val="005E0E86"/>
    <w:rsid w:val="006C01AE"/>
    <w:rsid w:val="007620A2"/>
    <w:rsid w:val="00791C72"/>
    <w:rsid w:val="007920FC"/>
    <w:rsid w:val="007B4876"/>
    <w:rsid w:val="00801F66"/>
    <w:rsid w:val="00812C39"/>
    <w:rsid w:val="009334BF"/>
    <w:rsid w:val="009D1193"/>
    <w:rsid w:val="00A61E3E"/>
    <w:rsid w:val="00B0223F"/>
    <w:rsid w:val="00B0479E"/>
    <w:rsid w:val="00BA1219"/>
    <w:rsid w:val="00BE2400"/>
    <w:rsid w:val="00E54963"/>
    <w:rsid w:val="00FC31BE"/>
    <w:rsid w:val="00FD5E00"/>
    <w:rsid w:val="02D8172A"/>
    <w:rsid w:val="0BF94C45"/>
    <w:rsid w:val="0EA325C9"/>
    <w:rsid w:val="0EE17C1A"/>
    <w:rsid w:val="101A736B"/>
    <w:rsid w:val="127671B4"/>
    <w:rsid w:val="17814CC9"/>
    <w:rsid w:val="181800A9"/>
    <w:rsid w:val="19B512C4"/>
    <w:rsid w:val="1C8C69CB"/>
    <w:rsid w:val="1EC87D16"/>
    <w:rsid w:val="1F8222C0"/>
    <w:rsid w:val="1F86727A"/>
    <w:rsid w:val="22E46C89"/>
    <w:rsid w:val="2A6E5CBC"/>
    <w:rsid w:val="2F6A1993"/>
    <w:rsid w:val="312C7481"/>
    <w:rsid w:val="314E2AD7"/>
    <w:rsid w:val="34C45458"/>
    <w:rsid w:val="35C83C42"/>
    <w:rsid w:val="370E77CE"/>
    <w:rsid w:val="37445DC3"/>
    <w:rsid w:val="42C906AE"/>
    <w:rsid w:val="449F41BC"/>
    <w:rsid w:val="45E47B53"/>
    <w:rsid w:val="47B60392"/>
    <w:rsid w:val="49F60B4A"/>
    <w:rsid w:val="4A611470"/>
    <w:rsid w:val="4F2F4144"/>
    <w:rsid w:val="55976C84"/>
    <w:rsid w:val="573A37E9"/>
    <w:rsid w:val="60154311"/>
    <w:rsid w:val="6264057D"/>
    <w:rsid w:val="695B26FD"/>
    <w:rsid w:val="6AF77BA8"/>
    <w:rsid w:val="6B882F42"/>
    <w:rsid w:val="6F2A3A60"/>
    <w:rsid w:val="7284723D"/>
    <w:rsid w:val="72880676"/>
    <w:rsid w:val="73D824BD"/>
    <w:rsid w:val="742334CF"/>
    <w:rsid w:val="75306817"/>
    <w:rsid w:val="764B3663"/>
    <w:rsid w:val="797C7D95"/>
    <w:rsid w:val="79977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font51"/>
    <w:basedOn w:val="7"/>
    <w:qFormat/>
    <w:uiPriority w:val="0"/>
    <w:rPr>
      <w:rFonts w:hint="eastAsia" w:ascii="宋体" w:hAnsi="宋体" w:eastAsia="宋体" w:cs="宋体"/>
      <w:color w:val="000000"/>
      <w:sz w:val="16"/>
      <w:szCs w:val="16"/>
      <w:u w:val="none"/>
    </w:rPr>
  </w:style>
  <w:style w:type="character" w:customStyle="1" w:styleId="9">
    <w:name w:val="font21"/>
    <w:basedOn w:val="7"/>
    <w:qFormat/>
    <w:uiPriority w:val="0"/>
    <w:rPr>
      <w:rFonts w:ascii="Calibri" w:hAnsi="Calibri" w:cs="Calibri"/>
      <w:color w:val="000000"/>
      <w:sz w:val="16"/>
      <w:szCs w:val="16"/>
      <w:u w:val="none"/>
    </w:rPr>
  </w:style>
  <w:style w:type="character" w:customStyle="1" w:styleId="10">
    <w:name w:val="font61"/>
    <w:basedOn w:val="7"/>
    <w:qFormat/>
    <w:uiPriority w:val="0"/>
    <w:rPr>
      <w:rFonts w:ascii="Arial Unicode MS" w:hAnsi="Arial Unicode MS" w:eastAsia="Arial Unicode MS" w:cs="Arial Unicode MS"/>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bmp"/><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29976;&#24535;&#22025;\AppData\Local\Temp\wps.fNSnGu\Chart%20in%20Wps.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r>
              <a:rPr lang="en-US" altLang="zh-CN">
                <a:latin typeface="楷体_GB2312" pitchFamily="3" charset="-122"/>
                <a:ea typeface="楷体_GB2312" pitchFamily="3" charset="-122"/>
                <a:cs typeface="楷体_GB2312" pitchFamily="3" charset="-122"/>
                <a:sym typeface="楷体_GB2312" pitchFamily="3" charset="-122"/>
              </a:rPr>
              <a:t>2019-2020</a:t>
            </a:r>
            <a:r>
              <a:rPr lang="zh-CN" altLang="en-US">
                <a:latin typeface="楷体_GB2312" pitchFamily="3" charset="-122"/>
                <a:ea typeface="楷体_GB2312" pitchFamily="3" charset="-122"/>
                <a:cs typeface="楷体_GB2312" pitchFamily="3" charset="-122"/>
                <a:sym typeface="楷体_GB2312" pitchFamily="3" charset="-122"/>
              </a:rPr>
              <a:t>年收支总计对比情况（图</a:t>
            </a:r>
            <a:r>
              <a:rPr lang="en-US" altLang="zh-CN">
                <a:latin typeface="楷体_GB2312" pitchFamily="3" charset="-122"/>
                <a:ea typeface="楷体_GB2312" pitchFamily="3" charset="-122"/>
                <a:cs typeface="楷体_GB2312" pitchFamily="3" charset="-122"/>
                <a:sym typeface="楷体_GB2312" pitchFamily="3" charset="-122"/>
              </a:rPr>
              <a:t>1</a:t>
            </a:r>
            <a:r>
              <a:rPr lang="zh-CN" altLang="en-US">
                <a:latin typeface="楷体_GB2312" pitchFamily="3" charset="-122"/>
                <a:ea typeface="楷体_GB2312" pitchFamily="3" charset="-122"/>
                <a:cs typeface="楷体_GB2312" pitchFamily="3" charset="-122"/>
                <a:sym typeface="楷体_GB2312" pitchFamily="3" charset="-122"/>
              </a:rPr>
              <a:t>）</a:t>
            </a:r>
            <a:endParaRPr lang="zh-CN" altLang="en-US">
              <a:latin typeface="楷体_GB2312" pitchFamily="3" charset="-122"/>
              <a:ea typeface="楷体_GB2312" pitchFamily="3" charset="-122"/>
              <a:cs typeface="楷体_GB2312" pitchFamily="3" charset="-122"/>
              <a:sym typeface="楷体_GB2312" pitchFamily="3" charset="-122"/>
            </a:endParaRPr>
          </a:p>
        </c:rich>
      </c:tx>
      <c:layout>
        <c:manualLayout>
          <c:xMode val="edge"/>
          <c:yMode val="edge"/>
          <c:x val="0.209718361608105"/>
          <c:y val="0.846648044692737"/>
        </c:manualLayout>
      </c:layout>
      <c:overlay val="0"/>
      <c:spPr>
        <a:noFill/>
        <a:ln>
          <a:noFill/>
        </a:ln>
        <a:effectLst/>
      </c:spPr>
    </c:title>
    <c:autoTitleDeleted val="0"/>
    <c:plotArea>
      <c:layout>
        <c:manualLayout>
          <c:layoutTarget val="inner"/>
          <c:xMode val="edge"/>
          <c:yMode val="edge"/>
          <c:x val="0.119364691508858"/>
          <c:y val="0.085195530726257"/>
          <c:w val="0.778772144166158"/>
          <c:h val="0.619106145251397"/>
        </c:manualLayout>
      </c:layout>
      <c:barChart>
        <c:barDir val="col"/>
        <c:grouping val="clustered"/>
        <c:varyColors val="0"/>
        <c:ser>
          <c:idx val="0"/>
          <c:order val="0"/>
          <c:tx>
            <c:strRef>
              <c:f>Sheet1!$B$1</c:f>
              <c:strCache>
                <c:ptCount val="1"/>
                <c:pt idx="0">
                  <c:v>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楷体_GB2312" pitchFamily="3" charset="-122"/>
                    <a:ea typeface="楷体_GB2312" pitchFamily="3" charset="-122"/>
                    <a:cs typeface="楷体_GB2312" pitchFamily="3" charset="-122"/>
                    <a:sym typeface="楷体_GB2312" pitchFamily="3"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2019年</c:v>
                </c:pt>
                <c:pt idx="1">
                  <c:v>2020年</c:v>
                </c:pt>
              </c:strCache>
            </c:strRef>
          </c:cat>
          <c:val>
            <c:numRef>
              <c:f>Sheet1!$B$2:$B$3</c:f>
              <c:numCache>
                <c:formatCode>General</c:formatCode>
                <c:ptCount val="2"/>
                <c:pt idx="0">
                  <c:v>103.85</c:v>
                </c:pt>
                <c:pt idx="1">
                  <c:v>87.06</c:v>
                </c:pt>
              </c:numCache>
            </c:numRef>
          </c:val>
        </c:ser>
        <c:dLbls>
          <c:showLegendKey val="0"/>
          <c:showVal val="1"/>
          <c:showCatName val="0"/>
          <c:showSerName val="0"/>
          <c:showPercent val="0"/>
          <c:showBubbleSize val="0"/>
        </c:dLbls>
        <c:gapWidth val="219"/>
        <c:overlap val="-27"/>
        <c:axId val="61441400"/>
        <c:axId val="61443360"/>
      </c:barChart>
      <c:catAx>
        <c:axId val="614414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61443360"/>
        <c:crosses val="autoZero"/>
        <c:auto val="1"/>
        <c:lblAlgn val="ctr"/>
        <c:lblOffset val="100"/>
        <c:noMultiLvlLbl val="0"/>
      </c:catAx>
      <c:valAx>
        <c:axId val="61443360"/>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crossAx val="614414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Entry>
      <c:layout>
        <c:manualLayout>
          <c:xMode val="edge"/>
          <c:yMode val="edge"/>
          <c:x val="0.830312807730552"/>
          <c:y val="0.36317316982804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楷体_GB2312" pitchFamily="3" charset="-122"/>
              <a:ea typeface="楷体_GB2312" pitchFamily="3" charset="-122"/>
              <a:cs typeface="楷体_GB2312" pitchFamily="3" charset="-122"/>
              <a:sym typeface="楷体_GB2312" pitchFamily="3" charset="-122"/>
            </a:defRPr>
          </a:pPr>
        </a:p>
      </c:txPr>
    </c:legend>
    <c:plotVisOnly val="1"/>
    <c:dispBlanksAs val="gap"/>
    <c:showDLblsOverMax val="0"/>
  </c:chart>
  <c:spPr>
    <a:solidFill>
      <a:schemeClr val="bg1"/>
    </a:solidFill>
    <a:ln w="9525" cap="flat" cmpd="sng" algn="ctr">
      <a:noFill/>
      <a:prstDash val="solid"/>
      <a:round/>
    </a:ln>
    <a:effectLst/>
  </c:spPr>
  <c:txPr>
    <a:bodyPr/>
    <a:lstStyle/>
    <a:p>
      <a:pPr>
        <a:defRPr lang="zh-CN">
          <a:latin typeface="楷体_GB2312" pitchFamily="3" charset="-122"/>
          <a:ea typeface="楷体_GB2312" pitchFamily="3" charset="-122"/>
          <a:cs typeface="楷体_GB2312" pitchFamily="3" charset="-122"/>
          <a:sym typeface="楷体_GB2312" pitchFamily="3"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2</a:t>
            </a:r>
            <a:r>
              <a:rPr lang="zh-CN" altLang="en-US"/>
              <a:t>：支出决算情况说明</a:t>
            </a:r>
            <a:endParaRPr lang="zh-CN" altLang="en-US"/>
          </a:p>
        </c:rich>
      </c:tx>
      <c:layout>
        <c:manualLayout>
          <c:xMode val="edge"/>
          <c:yMode val="edge"/>
          <c:x val="0.289583333333333"/>
          <c:y val="0.844444444444444"/>
        </c:manualLayout>
      </c:layout>
      <c:overlay val="0"/>
      <c:spPr>
        <a:noFill/>
        <a:ln>
          <a:noFill/>
        </a:ln>
        <a:effectLst/>
      </c:spPr>
    </c:title>
    <c:autoTitleDeleted val="0"/>
    <c:plotArea>
      <c:layout>
        <c:manualLayout>
          <c:layoutTarget val="inner"/>
          <c:xMode val="edge"/>
          <c:yMode val="edge"/>
          <c:x val="0.0775"/>
          <c:y val="0.0740740740740741"/>
          <c:w val="0.686388888888889"/>
          <c:h val="0.691666666666667"/>
        </c:manualLayout>
      </c:layout>
      <c:pieChart>
        <c:varyColors val="1"/>
        <c:ser>
          <c:idx val="0"/>
          <c:order val="0"/>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'[Chart in Wps.xlsx]Sheet1'!$A$1:$A$2</c:f>
              <c:strCache>
                <c:ptCount val="2"/>
                <c:pt idx="0">
                  <c:v>基本支出</c:v>
                </c:pt>
                <c:pt idx="1">
                  <c:v>项目支出</c:v>
                </c:pt>
              </c:strCache>
            </c:strRef>
          </c:cat>
          <c:val>
            <c:numRef>
              <c:f>'[Chart in Wps.xlsx]Sheet1'!$B$1:$B$2</c:f>
              <c:numCache>
                <c:formatCode>0.00%</c:formatCode>
                <c:ptCount val="2"/>
                <c:pt idx="0">
                  <c:v>0.9587</c:v>
                </c:pt>
                <c:pt idx="1">
                  <c:v>0.0413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3</a:t>
            </a:r>
            <a:r>
              <a:rPr lang="zh-CN" altLang="en-US"/>
              <a:t>：</a:t>
            </a:r>
            <a:r>
              <a:rPr lang="en-US" altLang="zh-CN"/>
              <a:t>2019-2022</a:t>
            </a:r>
            <a:r>
              <a:rPr lang="zh-CN" altLang="en-US"/>
              <a:t>年财政拨款收支情况</a:t>
            </a:r>
            <a:endParaRPr lang="zh-CN" altLang="en-US"/>
          </a:p>
        </c:rich>
      </c:tx>
      <c:layout>
        <c:manualLayout>
          <c:xMode val="edge"/>
          <c:yMode val="edge"/>
          <c:x val="0.255942591248288"/>
          <c:y val="0.888235389390265"/>
        </c:manualLayout>
      </c:layout>
      <c:overlay val="0"/>
      <c:spPr>
        <a:noFill/>
        <a:ln>
          <a:noFill/>
        </a:ln>
        <a:effectLst/>
      </c:spPr>
    </c:title>
    <c:autoTitleDeleted val="0"/>
    <c:plotArea>
      <c:layout>
        <c:manualLayout>
          <c:layoutTarget val="inner"/>
          <c:xMode val="edge"/>
          <c:yMode val="edge"/>
          <c:x val="0.0595002942028688"/>
          <c:y val="0.0908592149346401"/>
          <c:w val="0.917039703070521"/>
          <c:h val="0.697308334880267"/>
        </c:manualLayout>
      </c:layout>
      <c:barChart>
        <c:barDir val="col"/>
        <c:grouping val="clustered"/>
        <c:varyColors val="0"/>
        <c:ser>
          <c:idx val="0"/>
          <c:order val="0"/>
          <c:tx>
            <c:strRef>
              <c:f>[工作簿1]Sheet1!$B$6</c:f>
              <c:strCache>
                <c:ptCount val="1"/>
                <c:pt idx="0">
                  <c:v>图2：2019-2022年财政拨款收支情况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[工作簿1]Sheet1!$A$7:$A$10</c:f>
              <c:strCache>
                <c:ptCount val="4"/>
                <c:pt idx="0">
                  <c:v>2019年度财政拨款收入数</c:v>
                </c:pt>
                <c:pt idx="1">
                  <c:v>2020年度财政拨款收入数</c:v>
                </c:pt>
                <c:pt idx="2">
                  <c:v>2019年度财政拨款支出数</c:v>
                </c:pt>
                <c:pt idx="3">
                  <c:v>2020年度财政拨款支出数</c:v>
                </c:pt>
              </c:strCache>
            </c:strRef>
          </c:cat>
          <c:val>
            <c:numRef>
              <c:f>[工作簿1]Sheet1!$B$7:$B$10</c:f>
              <c:numCache>
                <c:formatCode>General</c:formatCode>
                <c:ptCount val="4"/>
                <c:pt idx="0">
                  <c:v>103.85</c:v>
                </c:pt>
                <c:pt idx="1">
                  <c:v>85.64</c:v>
                </c:pt>
                <c:pt idx="2">
                  <c:v>101.85</c:v>
                </c:pt>
                <c:pt idx="3">
                  <c:v>87.06</c:v>
                </c:pt>
              </c:numCache>
            </c:numRef>
          </c:val>
        </c:ser>
        <c:dLbls>
          <c:showLegendKey val="0"/>
          <c:showVal val="1"/>
          <c:showCatName val="0"/>
          <c:showSerName val="0"/>
          <c:showPercent val="0"/>
          <c:showBubbleSize val="0"/>
        </c:dLbls>
        <c:gapWidth val="219"/>
        <c:overlap val="-27"/>
        <c:axId val="689733592"/>
        <c:axId val="689728496"/>
      </c:barChart>
      <c:catAx>
        <c:axId val="6897335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728496"/>
        <c:crosses val="autoZero"/>
        <c:auto val="1"/>
        <c:lblAlgn val="ctr"/>
        <c:lblOffset val="100"/>
        <c:noMultiLvlLbl val="0"/>
      </c:catAx>
      <c:valAx>
        <c:axId val="6897284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89733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4</a:t>
            </a:r>
            <a:r>
              <a:rPr lang="zh-CN" altLang="en-US"/>
              <a:t>：</a:t>
            </a:r>
            <a:r>
              <a:rPr lang="en-US" altLang="zh-CN"/>
              <a:t>2019-2022</a:t>
            </a:r>
            <a:r>
              <a:rPr lang="zh-CN" altLang="en-US"/>
              <a:t>年财政拨款收支预决算对比情况</a:t>
            </a:r>
            <a:endParaRPr lang="zh-CN" altLang="en-US"/>
          </a:p>
        </c:rich>
      </c:tx>
      <c:layout>
        <c:manualLayout>
          <c:xMode val="edge"/>
          <c:yMode val="edge"/>
          <c:x val="0.2031915901127"/>
          <c:y val="0.873051224944321"/>
        </c:manualLayout>
      </c:layout>
      <c:overlay val="0"/>
      <c:spPr>
        <a:noFill/>
        <a:ln>
          <a:noFill/>
        </a:ln>
        <a:effectLst/>
      </c:spPr>
    </c:title>
    <c:autoTitleDeleted val="0"/>
    <c:plotArea>
      <c:layout>
        <c:manualLayout>
          <c:layoutTarget val="inner"/>
          <c:xMode val="edge"/>
          <c:yMode val="edge"/>
          <c:x val="0.0510086182403637"/>
          <c:y val="0.141982182628062"/>
          <c:w val="0.928156075385927"/>
          <c:h val="0.621269487750557"/>
        </c:manualLayout>
      </c:layout>
      <c:barChart>
        <c:barDir val="col"/>
        <c:grouping val="clustered"/>
        <c:varyColors val="0"/>
        <c:ser>
          <c:idx val="0"/>
          <c:order val="0"/>
          <c:tx>
            <c:strRef>
              <c:f>[工作簿1]Sheet1!$B$6</c:f>
              <c:strCache>
                <c:ptCount val="1"/>
                <c:pt idx="0">
                  <c:v>图3：2019-2022年财政拨款收支预决算对比情况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[工作簿1]Sheet1!$A$7:$A$10</c:f>
              <c:strCache>
                <c:ptCount val="4"/>
                <c:pt idx="0">
                  <c:v>2020年度财政拨款收入预算数</c:v>
                </c:pt>
                <c:pt idx="1">
                  <c:v>2020年度财政拨款收入决算数</c:v>
                </c:pt>
                <c:pt idx="2">
                  <c:v>2020年度财政拨款支出预算数</c:v>
                </c:pt>
                <c:pt idx="3">
                  <c:v>2020年度财政拨款支出决算数</c:v>
                </c:pt>
              </c:strCache>
            </c:strRef>
          </c:cat>
          <c:val>
            <c:numRef>
              <c:f>[工作簿1]Sheet1!$B$7:$B$10</c:f>
              <c:numCache>
                <c:formatCode>General</c:formatCode>
                <c:ptCount val="4"/>
                <c:pt idx="0">
                  <c:v>103.84</c:v>
                </c:pt>
                <c:pt idx="1">
                  <c:v>85.64</c:v>
                </c:pt>
                <c:pt idx="2">
                  <c:v>103.84</c:v>
                </c:pt>
                <c:pt idx="3">
                  <c:v>87.06</c:v>
                </c:pt>
              </c:numCache>
            </c:numRef>
          </c:val>
        </c:ser>
        <c:dLbls>
          <c:showLegendKey val="0"/>
          <c:showVal val="1"/>
          <c:showCatName val="0"/>
          <c:showSerName val="0"/>
          <c:showPercent val="0"/>
          <c:showBubbleSize val="0"/>
        </c:dLbls>
        <c:gapWidth val="219"/>
        <c:overlap val="-27"/>
        <c:axId val="393288832"/>
        <c:axId val="394256704"/>
      </c:barChart>
      <c:catAx>
        <c:axId val="39328883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256704"/>
        <c:crosses val="autoZero"/>
        <c:auto val="1"/>
        <c:lblAlgn val="ctr"/>
        <c:lblOffset val="100"/>
        <c:noMultiLvlLbl val="0"/>
      </c:catAx>
      <c:valAx>
        <c:axId val="3942567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88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图</a:t>
            </a:r>
            <a:r>
              <a:rPr lang="en-US" altLang="zh-CN"/>
              <a:t>5</a:t>
            </a:r>
            <a:r>
              <a:rPr lang="zh-CN" altLang="en-US"/>
              <a:t>：财政拨款决算支出决算结构（按功能分类）</a:t>
            </a:r>
            <a:endParaRPr lang="zh-CN" altLang="en-US"/>
          </a:p>
        </c:rich>
      </c:tx>
      <c:layout>
        <c:manualLayout>
          <c:xMode val="edge"/>
          <c:yMode val="edge"/>
          <c:x val="0.0868475931421035"/>
          <c:y val="0.771509466479553"/>
        </c:manualLayout>
      </c:layout>
      <c:overlay val="0"/>
      <c:spPr>
        <a:noFill/>
        <a:ln>
          <a:noFill/>
        </a:ln>
        <a:effectLst/>
      </c:spPr>
    </c:title>
    <c:autoTitleDeleted val="0"/>
    <c:plotArea>
      <c:layout>
        <c:manualLayout>
          <c:layoutTarget val="inner"/>
          <c:xMode val="edge"/>
          <c:yMode val="edge"/>
          <c:x val="0.0869444444444444"/>
          <c:y val="0.0546296296296296"/>
          <c:w val="0.82625"/>
          <c:h val="0.591666666666667"/>
        </c:manualLayout>
      </c:layout>
      <c:pieChart>
        <c:varyColors val="1"/>
        <c:ser>
          <c:idx val="0"/>
          <c:order val="0"/>
          <c:tx>
            <c:strRef>
              <c:f>[工作簿1]Sheet1!$B$14</c:f>
              <c:strCache>
                <c:ptCount val="1"/>
                <c:pt idx="0">
                  <c:v>图4：财政拨款决算支出决算结构（按功能分类）</c:v>
                </c:pt>
              </c:strCache>
            </c:strRef>
          </c:tx>
          <c:spPr>
            <a:scene3d>
              <a:camera prst="orthographicFront"/>
              <a:lightRig rig="threePt" dir="t"/>
            </a:scene3d>
            <a:sp3d contourW="25400"/>
          </c:spPr>
          <c:explosion val="0"/>
          <c:dPt>
            <c:idx val="0"/>
            <c:bubble3D val="0"/>
            <c:spPr>
              <a:solidFill>
                <a:schemeClr val="accent1"/>
              </a:solidFill>
              <a:ln w="25400">
                <a:solidFill>
                  <a:schemeClr val="lt1"/>
                </a:solidFill>
              </a:ln>
              <a:effectLst/>
              <a:scene3d>
                <a:camera prst="orthographicFront"/>
                <a:lightRig rig="threePt" dir="t"/>
              </a:scene3d>
              <a:sp3d contourW="25400"/>
            </c:spPr>
          </c:dPt>
          <c:dPt>
            <c:idx val="1"/>
            <c:bubble3D val="0"/>
            <c:spPr>
              <a:solidFill>
                <a:schemeClr val="accent2"/>
              </a:solidFill>
              <a:ln w="25400">
                <a:solidFill>
                  <a:schemeClr val="lt1"/>
                </a:solidFill>
              </a:ln>
              <a:effectLst/>
              <a:scene3d>
                <a:camera prst="orthographicFront"/>
                <a:lightRig rig="threePt" dir="t"/>
              </a:scene3d>
              <a:sp3d contourW="25400"/>
            </c:spPr>
          </c:dPt>
          <c:dPt>
            <c:idx val="2"/>
            <c:bubble3D val="0"/>
            <c:spPr>
              <a:solidFill>
                <a:schemeClr val="accent3"/>
              </a:solidFill>
              <a:ln w="25400">
                <a:solidFill>
                  <a:schemeClr val="lt1"/>
                </a:solidFill>
              </a:ln>
              <a:effectLst/>
              <a:scene3d>
                <a:camera prst="orthographicFront"/>
                <a:lightRig rig="threePt" dir="t"/>
              </a:scene3d>
              <a:sp3d contourW="25400"/>
            </c:spPr>
          </c:dPt>
          <c:dLbls>
            <c:dLbl>
              <c:idx val="0"/>
              <c:layout>
                <c:manualLayout>
                  <c:x val="-0.0576719049235276"/>
                  <c:y val="0.091855216185507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[工作簿1]Sheet1!$A$15:$A$17</c:f>
              <c:strCache>
                <c:ptCount val="3"/>
                <c:pt idx="0">
                  <c:v>社会保障和就业</c:v>
                </c:pt>
                <c:pt idx="1">
                  <c:v>卫生健康支出</c:v>
                </c:pt>
                <c:pt idx="2">
                  <c:v>住房和保障支出</c:v>
                </c:pt>
              </c:strCache>
            </c:strRef>
          </c:cat>
          <c:val>
            <c:numRef>
              <c:f>[工作簿1]Sheet1!$B$15:$B$17</c:f>
              <c:numCache>
                <c:formatCode>0.00%</c:formatCode>
                <c:ptCount val="3"/>
                <c:pt idx="0">
                  <c:v>0.1196</c:v>
                </c:pt>
                <c:pt idx="1">
                  <c:v>0.8356</c:v>
                </c:pt>
                <c:pt idx="2">
                  <c:v>0.0448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31</Pages>
  <Words>7478</Words>
  <Characters>9032</Characters>
  <Lines>80</Lines>
  <Paragraphs>22</Paragraphs>
  <TotalTime>2</TotalTime>
  <ScaleCrop>false</ScaleCrop>
  <LinksUpToDate>false</LinksUpToDate>
  <CharactersWithSpaces>9262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秦皇岛市BIM中心</cp:lastModifiedBy>
  <dcterms:modified xsi:type="dcterms:W3CDTF">2022-09-02T07:57:01Z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A546CDD6DF8B413798D5F0DD9D4ED3DD</vt:lpwstr>
  </property>
</Properties>
</file>